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489" w:tblpY="196"/>
        <w:tblOverlap w:val="never"/>
        <w:tblW w:w="0" w:type="auto"/>
        <w:tblInd w:w="0" w:type="dxa"/>
        <w:tblLayout w:type="fixed"/>
        <w:tblCellMar>
          <w:top w:w="0" w:type="dxa"/>
          <w:left w:w="108" w:type="dxa"/>
          <w:bottom w:w="0" w:type="dxa"/>
          <w:right w:w="108" w:type="dxa"/>
        </w:tblCellMar>
      </w:tblPr>
      <w:tblGrid>
        <w:gridCol w:w="406"/>
        <w:gridCol w:w="1431"/>
        <w:gridCol w:w="3034"/>
        <w:gridCol w:w="785"/>
        <w:gridCol w:w="588"/>
        <w:gridCol w:w="3704"/>
        <w:gridCol w:w="646"/>
        <w:gridCol w:w="2839"/>
        <w:gridCol w:w="741"/>
      </w:tblGrid>
      <w:tr>
        <w:tblPrEx>
          <w:tblCellMar>
            <w:top w:w="0" w:type="dxa"/>
            <w:left w:w="108" w:type="dxa"/>
            <w:bottom w:w="0" w:type="dxa"/>
            <w:right w:w="108" w:type="dxa"/>
          </w:tblCellMar>
        </w:tblPrEx>
        <w:trPr>
          <w:trHeight w:val="717" w:hRule="atLeast"/>
        </w:trPr>
        <w:tc>
          <w:tcPr>
            <w:tcW w:w="14174" w:type="dxa"/>
            <w:gridSpan w:val="9"/>
            <w:tcBorders>
              <w:top w:val="nil"/>
              <w:left w:val="nil"/>
              <w:bottom w:val="nil"/>
              <w:right w:val="nil"/>
            </w:tcBorders>
            <w:vAlign w:val="bottom"/>
          </w:tcPr>
          <w:p>
            <w:pPr>
              <w:widowControl/>
              <w:spacing w:beforeLines="50" w:afterLines="50"/>
              <w:jc w:val="center"/>
              <w:rPr>
                <w:rFonts w:ascii="方正小标宋简体" w:hAnsi="宋体" w:eastAsia="方正小标宋简体" w:cs="宋体"/>
                <w:b/>
                <w:bCs/>
                <w:color w:val="000000"/>
                <w:kern w:val="0"/>
                <w:sz w:val="44"/>
                <w:szCs w:val="44"/>
              </w:rPr>
            </w:pPr>
            <w:r>
              <w:rPr>
                <w:rFonts w:hint="eastAsia" w:ascii="方正小标宋简体" w:hAnsi="宋体" w:eastAsia="方正小标宋简体" w:cs="宋体"/>
                <w:bCs/>
                <w:color w:val="000000"/>
                <w:kern w:val="0"/>
                <w:sz w:val="36"/>
                <w:szCs w:val="36"/>
                <w:lang w:val="en-US" w:eastAsia="zh-CN"/>
              </w:rPr>
              <w:t>省生态环境保护督查“回头看”</w:t>
            </w:r>
            <w:r>
              <w:rPr>
                <w:rFonts w:hint="eastAsia" w:ascii="方正小标宋简体" w:hAnsi="宋体" w:eastAsia="方正小标宋简体" w:cs="宋体"/>
                <w:bCs/>
                <w:color w:val="000000"/>
                <w:kern w:val="0"/>
                <w:sz w:val="36"/>
                <w:szCs w:val="36"/>
              </w:rPr>
              <w:t>群</w:t>
            </w:r>
            <w:bookmarkStart w:id="0" w:name="_GoBack"/>
            <w:bookmarkEnd w:id="0"/>
            <w:r>
              <w:rPr>
                <w:rFonts w:hint="eastAsia" w:ascii="方正小标宋简体" w:hAnsi="宋体" w:eastAsia="方正小标宋简体" w:cs="宋体"/>
                <w:bCs/>
                <w:color w:val="000000"/>
                <w:kern w:val="0"/>
                <w:sz w:val="36"/>
                <w:szCs w:val="36"/>
              </w:rPr>
              <w:t>众信访举报转办和边督边改公开情况一览表</w:t>
            </w:r>
          </w:p>
        </w:tc>
      </w:tr>
      <w:tr>
        <w:tblPrEx>
          <w:tblCellMar>
            <w:top w:w="0" w:type="dxa"/>
            <w:left w:w="108" w:type="dxa"/>
            <w:bottom w:w="0" w:type="dxa"/>
            <w:right w:w="108" w:type="dxa"/>
          </w:tblCellMar>
        </w:tblPrEx>
        <w:trPr>
          <w:trHeight w:val="327" w:hRule="atLeast"/>
        </w:trPr>
        <w:tc>
          <w:tcPr>
            <w:tcW w:w="14174" w:type="dxa"/>
            <w:gridSpan w:val="9"/>
            <w:tcBorders>
              <w:top w:val="nil"/>
              <w:left w:val="nil"/>
              <w:bottom w:val="single" w:color="000000" w:sz="8" w:space="0"/>
              <w:right w:val="nil"/>
            </w:tcBorders>
            <w:vAlign w:val="bottom"/>
          </w:tcPr>
          <w:p>
            <w:pPr>
              <w:widowControl/>
              <w:spacing w:beforeLines="50" w:afterLines="50"/>
              <w:jc w:val="center"/>
              <w:rPr>
                <w:rFonts w:ascii="仿宋_GB2312" w:hAnsi="宋体" w:eastAsia="仿宋_GB2312" w:cs="宋体"/>
                <w:bCs/>
                <w:color w:val="000000"/>
                <w:kern w:val="0"/>
                <w:sz w:val="22"/>
              </w:rPr>
            </w:pPr>
            <w:r>
              <w:rPr>
                <w:rFonts w:hint="eastAsia" w:ascii="仿宋_GB2312" w:hAnsi="宋体" w:eastAsia="仿宋_GB2312" w:cs="宋体"/>
                <w:bCs/>
                <w:color w:val="000000"/>
                <w:kern w:val="0"/>
                <w:sz w:val="22"/>
              </w:rPr>
              <w:t>（第</w:t>
            </w:r>
            <w:r>
              <w:rPr>
                <w:rFonts w:hint="eastAsia" w:ascii="仿宋_GB2312" w:hAnsi="宋体" w:eastAsia="仿宋_GB2312" w:cs="宋体"/>
                <w:bCs/>
                <w:color w:val="000000"/>
                <w:kern w:val="0"/>
                <w:sz w:val="22"/>
                <w:lang w:val="en-US" w:eastAsia="zh-CN"/>
              </w:rPr>
              <w:t>一</w:t>
            </w:r>
            <w:r>
              <w:rPr>
                <w:rFonts w:hint="eastAsia" w:ascii="仿宋_GB2312" w:hAnsi="宋体" w:eastAsia="仿宋_GB2312" w:cs="宋体"/>
                <w:bCs/>
                <w:color w:val="000000"/>
                <w:kern w:val="0"/>
                <w:sz w:val="22"/>
              </w:rPr>
              <w:t>批    201</w:t>
            </w:r>
            <w:r>
              <w:rPr>
                <w:rFonts w:hint="eastAsia" w:ascii="仿宋_GB2312" w:hAnsi="宋体" w:eastAsia="仿宋_GB2312" w:cs="宋体"/>
                <w:bCs/>
                <w:color w:val="000000"/>
                <w:kern w:val="0"/>
                <w:sz w:val="22"/>
                <w:lang w:val="en-US" w:eastAsia="zh-CN"/>
              </w:rPr>
              <w:t>9</w:t>
            </w:r>
            <w:r>
              <w:rPr>
                <w:rFonts w:hint="eastAsia" w:ascii="仿宋_GB2312" w:hAnsi="宋体" w:eastAsia="仿宋_GB2312" w:cs="宋体"/>
                <w:bCs/>
                <w:color w:val="000000"/>
                <w:kern w:val="0"/>
                <w:sz w:val="22"/>
              </w:rPr>
              <w:t>年</w:t>
            </w:r>
            <w:r>
              <w:rPr>
                <w:rFonts w:hint="eastAsia" w:ascii="仿宋_GB2312" w:hAnsi="宋体" w:eastAsia="仿宋_GB2312" w:cs="宋体"/>
                <w:bCs/>
                <w:color w:val="000000"/>
                <w:kern w:val="0"/>
                <w:sz w:val="22"/>
                <w:lang w:val="en-US" w:eastAsia="zh-CN"/>
              </w:rPr>
              <w:t>12</w:t>
            </w:r>
            <w:r>
              <w:rPr>
                <w:rFonts w:hint="eastAsia" w:ascii="仿宋_GB2312" w:hAnsi="宋体" w:eastAsia="仿宋_GB2312" w:cs="宋体"/>
                <w:bCs/>
                <w:color w:val="000000"/>
                <w:kern w:val="0"/>
                <w:sz w:val="22"/>
              </w:rPr>
              <w:t>月</w:t>
            </w:r>
            <w:r>
              <w:rPr>
                <w:rFonts w:hint="eastAsia" w:ascii="仿宋_GB2312" w:hAnsi="宋体" w:eastAsia="仿宋_GB2312" w:cs="宋体"/>
                <w:bCs/>
                <w:color w:val="000000"/>
                <w:kern w:val="0"/>
                <w:sz w:val="22"/>
                <w:lang w:val="en-US" w:eastAsia="zh-CN"/>
              </w:rPr>
              <w:t>18</w:t>
            </w:r>
            <w:r>
              <w:rPr>
                <w:rFonts w:hint="eastAsia" w:ascii="仿宋_GB2312" w:hAnsi="宋体" w:eastAsia="仿宋_GB2312" w:cs="宋体"/>
                <w:bCs/>
                <w:color w:val="000000"/>
                <w:kern w:val="0"/>
                <w:sz w:val="22"/>
              </w:rPr>
              <w:t>日）</w:t>
            </w:r>
          </w:p>
        </w:tc>
      </w:tr>
      <w:tr>
        <w:tblPrEx>
          <w:tblCellMar>
            <w:top w:w="0" w:type="dxa"/>
            <w:left w:w="108" w:type="dxa"/>
            <w:bottom w:w="0" w:type="dxa"/>
            <w:right w:w="108" w:type="dxa"/>
          </w:tblCellMar>
        </w:tblPrEx>
        <w:trPr>
          <w:trHeight w:val="948" w:hRule="atLeast"/>
        </w:trPr>
        <w:tc>
          <w:tcPr>
            <w:tcW w:w="406" w:type="dxa"/>
            <w:tcBorders>
              <w:top w:val="nil"/>
              <w:left w:val="single" w:color="000000" w:sz="8" w:space="0"/>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1431" w:type="dxa"/>
            <w:tcBorders>
              <w:top w:val="nil"/>
              <w:left w:val="nil"/>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受理编号</w:t>
            </w:r>
          </w:p>
        </w:tc>
        <w:tc>
          <w:tcPr>
            <w:tcW w:w="3034" w:type="dxa"/>
            <w:tcBorders>
              <w:top w:val="nil"/>
              <w:left w:val="nil"/>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交办问题基本情况</w:t>
            </w:r>
          </w:p>
        </w:tc>
        <w:tc>
          <w:tcPr>
            <w:tcW w:w="785" w:type="dxa"/>
            <w:tcBorders>
              <w:top w:val="nil"/>
              <w:left w:val="nil"/>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行政区域</w:t>
            </w:r>
          </w:p>
        </w:tc>
        <w:tc>
          <w:tcPr>
            <w:tcW w:w="588" w:type="dxa"/>
            <w:tcBorders>
              <w:top w:val="nil"/>
              <w:left w:val="nil"/>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污染类型</w:t>
            </w:r>
          </w:p>
        </w:tc>
        <w:tc>
          <w:tcPr>
            <w:tcW w:w="3704" w:type="dxa"/>
            <w:tcBorders>
              <w:top w:val="nil"/>
              <w:left w:val="nil"/>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调查核实情况</w:t>
            </w:r>
          </w:p>
        </w:tc>
        <w:tc>
          <w:tcPr>
            <w:tcW w:w="646" w:type="dxa"/>
            <w:tcBorders>
              <w:top w:val="nil"/>
              <w:left w:val="nil"/>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是否</w:t>
            </w:r>
            <w:r>
              <w:rPr>
                <w:rFonts w:hint="eastAsia" w:ascii="黑体" w:hAnsi="黑体" w:eastAsia="黑体" w:cs="宋体"/>
                <w:bCs/>
                <w:color w:val="000000"/>
                <w:kern w:val="0"/>
                <w:szCs w:val="21"/>
                <w:lang w:val="en-US" w:eastAsia="zh-CN"/>
              </w:rPr>
              <w:t xml:space="preserve"> </w:t>
            </w:r>
            <w:r>
              <w:rPr>
                <w:rFonts w:hint="eastAsia" w:ascii="黑体" w:hAnsi="黑体" w:eastAsia="黑体" w:cs="宋体"/>
                <w:bCs/>
                <w:color w:val="000000"/>
                <w:kern w:val="0"/>
                <w:szCs w:val="21"/>
              </w:rPr>
              <w:t>属实</w:t>
            </w:r>
          </w:p>
        </w:tc>
        <w:tc>
          <w:tcPr>
            <w:tcW w:w="2839" w:type="dxa"/>
            <w:tcBorders>
              <w:top w:val="nil"/>
              <w:left w:val="nil"/>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处理和整改情况</w:t>
            </w:r>
          </w:p>
        </w:tc>
        <w:tc>
          <w:tcPr>
            <w:tcW w:w="741" w:type="dxa"/>
            <w:tcBorders>
              <w:top w:val="nil"/>
              <w:left w:val="nil"/>
              <w:bottom w:val="single" w:color="000000" w:sz="8" w:space="0"/>
              <w:right w:val="single" w:color="000000" w:sz="8" w:space="0"/>
            </w:tcBorders>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责任人被处理情况</w:t>
            </w:r>
          </w:p>
        </w:tc>
      </w:tr>
      <w:tr>
        <w:tblPrEx>
          <w:tblCellMar>
            <w:top w:w="0" w:type="dxa"/>
            <w:left w:w="108" w:type="dxa"/>
            <w:bottom w:w="0" w:type="dxa"/>
            <w:right w:w="108" w:type="dxa"/>
          </w:tblCellMar>
        </w:tblPrEx>
        <w:trPr>
          <w:trHeight w:val="3357" w:hRule="atLeast"/>
        </w:trPr>
        <w:tc>
          <w:tcPr>
            <w:tcW w:w="406" w:type="dxa"/>
            <w:tcBorders>
              <w:top w:val="nil"/>
              <w:left w:val="single" w:color="000000" w:sz="8" w:space="0"/>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431" w:type="dxa"/>
            <w:tcBorders>
              <w:top w:val="nil"/>
              <w:left w:val="nil"/>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D332000201912130001　　</w:t>
            </w:r>
          </w:p>
        </w:tc>
        <w:tc>
          <w:tcPr>
            <w:tcW w:w="3034" w:type="dxa"/>
            <w:tcBorders>
              <w:top w:val="nil"/>
              <w:left w:val="nil"/>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濂溪区南山雅苑西门的澜山荟酒店，排烟管道对楼上小区直排油烟，装了油烟净化装置但一直不开放，油烟污染严重。　</w:t>
            </w:r>
          </w:p>
        </w:tc>
        <w:tc>
          <w:tcPr>
            <w:tcW w:w="785" w:type="dxa"/>
            <w:tcBorders>
              <w:top w:val="nil"/>
              <w:left w:val="nil"/>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九江濂溪区　</w:t>
            </w:r>
          </w:p>
        </w:tc>
        <w:tc>
          <w:tcPr>
            <w:tcW w:w="588" w:type="dxa"/>
            <w:tcBorders>
              <w:top w:val="nil"/>
              <w:left w:val="nil"/>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大气　</w:t>
            </w:r>
          </w:p>
        </w:tc>
        <w:tc>
          <w:tcPr>
            <w:tcW w:w="3704" w:type="dxa"/>
            <w:tcBorders>
              <w:top w:val="nil"/>
              <w:left w:val="nil"/>
              <w:bottom w:val="single" w:color="000000" w:sz="8" w:space="0"/>
              <w:right w:val="single" w:color="000000" w:sz="8" w:space="0"/>
            </w:tcBorders>
            <w:vAlign w:val="center"/>
          </w:tcPr>
          <w:p>
            <w:pPr>
              <w:widowControl/>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月14日，接信访件后，濂溪区城管局莲花中队对澜山荟酒店进行了检查，酒店油烟净化器处于正常使用状态，而且，酒店厨房灶台点火开关与油烟净化器装置是采取联动装置，只要灶台点火，油烟净化器装置则自动工作。</w:t>
            </w:r>
          </w:p>
          <w:p>
            <w:pPr>
              <w:widowControl/>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12月17日，濂溪生态环境局委托第三方检测机构对澜山荟酒店的油烟排放再次进行监测，监测结果为油烟浓度超标。</w:t>
            </w:r>
          </w:p>
        </w:tc>
        <w:tc>
          <w:tcPr>
            <w:tcW w:w="646" w:type="dxa"/>
            <w:tcBorders>
              <w:top w:val="nil"/>
              <w:left w:val="nil"/>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属实　</w:t>
            </w:r>
          </w:p>
        </w:tc>
        <w:tc>
          <w:tcPr>
            <w:tcW w:w="2839" w:type="dxa"/>
            <w:tcBorders>
              <w:top w:val="nil"/>
              <w:left w:val="nil"/>
              <w:bottom w:val="single" w:color="000000" w:sz="8" w:space="0"/>
              <w:right w:val="single" w:color="000000" w:sz="8" w:space="0"/>
            </w:tcBorders>
            <w:vAlign w:val="top"/>
          </w:tcPr>
          <w:p>
            <w:pPr>
              <w:widowControl/>
              <w:jc w:val="both"/>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12月18日，监测结果出来后，濂溪区城管局对澜山荟酒店下发了责令限期改正通知书，要求经营户停止营业，对油烟净化装置进行整改，直至达标排放。</w:t>
            </w:r>
          </w:p>
          <w:p>
            <w:pPr>
              <w:widowControl/>
              <w:jc w:val="both"/>
              <w:rPr>
                <w:rFonts w:hint="eastAsia" w:ascii="仿宋_GB2312" w:hAnsi="仿宋_GB2312" w:eastAsia="仿宋_GB2312" w:cs="仿宋_GB2312"/>
                <w:color w:val="000000"/>
                <w:sz w:val="24"/>
                <w:szCs w:val="24"/>
                <w:lang w:val="en-US" w:eastAsia="zh-CN"/>
              </w:rPr>
            </w:pPr>
          </w:p>
        </w:tc>
        <w:tc>
          <w:tcPr>
            <w:tcW w:w="741" w:type="dxa"/>
            <w:tcBorders>
              <w:top w:val="nil"/>
              <w:left w:val="nil"/>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w:t>
            </w:r>
          </w:p>
        </w:tc>
      </w:tr>
      <w:tr>
        <w:tblPrEx>
          <w:tblCellMar>
            <w:top w:w="0" w:type="dxa"/>
            <w:left w:w="108" w:type="dxa"/>
            <w:bottom w:w="0" w:type="dxa"/>
            <w:right w:w="108" w:type="dxa"/>
          </w:tblCellMar>
        </w:tblPrEx>
        <w:trPr>
          <w:trHeight w:val="2265" w:hRule="atLeast"/>
        </w:trPr>
        <w:tc>
          <w:tcPr>
            <w:tcW w:w="406" w:type="dxa"/>
            <w:tcBorders>
              <w:top w:val="nil"/>
              <w:left w:val="single" w:color="000000" w:sz="8" w:space="0"/>
              <w:bottom w:val="single" w:color="auto" w:sz="4"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431" w:type="dxa"/>
            <w:tcBorders>
              <w:top w:val="nil"/>
              <w:left w:val="nil"/>
              <w:bottom w:val="single" w:color="auto" w:sz="4"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D332000201912130002　　</w:t>
            </w:r>
          </w:p>
        </w:tc>
        <w:tc>
          <w:tcPr>
            <w:tcW w:w="3034" w:type="dxa"/>
            <w:tcBorders>
              <w:top w:val="nil"/>
              <w:left w:val="nil"/>
              <w:bottom w:val="single" w:color="auto" w:sz="4"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龙开河（森林公安局路段），石灰粉等扬尘污染严重。　</w:t>
            </w:r>
          </w:p>
        </w:tc>
        <w:tc>
          <w:tcPr>
            <w:tcW w:w="785" w:type="dxa"/>
            <w:tcBorders>
              <w:top w:val="nil"/>
              <w:left w:val="nil"/>
              <w:bottom w:val="single" w:color="auto" w:sz="4"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九江经开区　</w:t>
            </w:r>
          </w:p>
        </w:tc>
        <w:tc>
          <w:tcPr>
            <w:tcW w:w="588" w:type="dxa"/>
            <w:tcBorders>
              <w:top w:val="nil"/>
              <w:left w:val="nil"/>
              <w:bottom w:val="single" w:color="auto" w:sz="4"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大气　</w:t>
            </w:r>
          </w:p>
        </w:tc>
        <w:tc>
          <w:tcPr>
            <w:tcW w:w="3704" w:type="dxa"/>
            <w:tcBorders>
              <w:top w:val="nil"/>
              <w:left w:val="nil"/>
              <w:bottom w:val="single" w:color="auto" w:sz="4"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2019年12月15日，经开区城市综合执法大队进行了调查处理，2019年12月13日，九江市老年大学月亮湾校区（原市委党校）改建工程进行老旧建筑整体拆除，施工方在施工过程中，只安排了一辆洒水车，后增加了一辆雾炮车进行降尘。</w:t>
            </w:r>
          </w:p>
        </w:tc>
        <w:tc>
          <w:tcPr>
            <w:tcW w:w="646" w:type="dxa"/>
            <w:tcBorders>
              <w:top w:val="nil"/>
              <w:left w:val="nil"/>
              <w:bottom w:val="single" w:color="auto" w:sz="4"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属实　</w:t>
            </w:r>
          </w:p>
        </w:tc>
        <w:tc>
          <w:tcPr>
            <w:tcW w:w="2839" w:type="dxa"/>
            <w:tcBorders>
              <w:top w:val="nil"/>
              <w:left w:val="nil"/>
              <w:bottom w:val="single" w:color="auto" w:sz="4" w:space="0"/>
              <w:right w:val="single" w:color="000000" w:sz="8" w:space="0"/>
            </w:tcBorders>
            <w:vAlign w:val="top"/>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责令施工方立即停止施工，并依法立案调查处理；要求并督促施工方现场采取降尘覆盖措施；要求施工方制定并完善施工过程中的降尘方案经相关部门批准后方可施工。</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　</w:t>
            </w:r>
          </w:p>
        </w:tc>
        <w:tc>
          <w:tcPr>
            <w:tcW w:w="741" w:type="dxa"/>
            <w:tcBorders>
              <w:top w:val="nil"/>
              <w:left w:val="nil"/>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w:t>
            </w:r>
          </w:p>
        </w:tc>
      </w:tr>
      <w:tr>
        <w:tblPrEx>
          <w:tblCellMar>
            <w:top w:w="0" w:type="dxa"/>
            <w:left w:w="108" w:type="dxa"/>
            <w:bottom w:w="0" w:type="dxa"/>
            <w:right w:w="108" w:type="dxa"/>
          </w:tblCellMar>
        </w:tblPrEx>
        <w:trPr>
          <w:trHeight w:val="624" w:hRule="atLeast"/>
        </w:trPr>
        <w:tc>
          <w:tcPr>
            <w:tcW w:w="406"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D332000201912130002　</w:t>
            </w:r>
          </w:p>
        </w:tc>
        <w:tc>
          <w:tcPr>
            <w:tcW w:w="3034"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原市委党校路段在拆房子，导致灰尘严重。　</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九江经开区　</w:t>
            </w:r>
          </w:p>
        </w:tc>
        <w:tc>
          <w:tcPr>
            <w:tcW w:w="58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大气　</w:t>
            </w:r>
          </w:p>
        </w:tc>
        <w:tc>
          <w:tcPr>
            <w:tcW w:w="3704"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2019年12月15日，经开区城市综合执法大队进行了调查处理，2019年12月13日，九江市老年大学月亮湾校区（原市委党校）改建工程进行老旧建筑整体拆除，施工方在施工过程中，只安排了一辆洒水车，后增加了一辆雾炮车进行降尘。</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属实　</w:t>
            </w:r>
          </w:p>
        </w:tc>
        <w:tc>
          <w:tcPr>
            <w:tcW w:w="2839" w:type="dxa"/>
            <w:tcBorders>
              <w:top w:val="single" w:color="auto" w:sz="4" w:space="0"/>
              <w:left w:val="single" w:color="auto" w:sz="4" w:space="0"/>
              <w:bottom w:val="single" w:color="auto" w:sz="4" w:space="0"/>
              <w:right w:val="single" w:color="auto" w:sz="4" w:space="0"/>
            </w:tcBorders>
            <w:vAlign w:val="top"/>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责令施工方立即停止施工，并依法立案调查处理；要求并督促施工方现场采取降尘覆盖措施；要求施工方制定并完善施工过程中的降尘方案经相关部门批准后方可施工。　</w:t>
            </w:r>
          </w:p>
        </w:tc>
        <w:tc>
          <w:tcPr>
            <w:tcW w:w="741" w:type="dxa"/>
            <w:tcBorders>
              <w:top w:val="nil"/>
              <w:left w:val="single" w:color="auto" w:sz="4" w:space="0"/>
              <w:bottom w:val="single" w:color="000000" w:sz="8" w:space="0"/>
              <w:right w:val="single" w:color="000000" w:sz="8" w:space="0"/>
            </w:tcBorders>
            <w:vAlign w:val="center"/>
          </w:tcPr>
          <w:p>
            <w:pPr>
              <w:widowControl/>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w:t>
            </w:r>
          </w:p>
        </w:tc>
      </w:tr>
    </w:tbl>
    <w:p>
      <w:pPr>
        <w:widowControl/>
        <w:jc w:val="both"/>
        <w:rPr>
          <w:rFonts w:hint="eastAsia" w:ascii="仿宋_GB2312" w:hAnsi="仿宋_GB2312" w:eastAsia="仿宋_GB2312" w:cs="仿宋_GB2312"/>
          <w:color w:val="000000"/>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00BC8"/>
    <w:rsid w:val="23A578E2"/>
    <w:rsid w:val="31F067E8"/>
    <w:rsid w:val="3C3543A1"/>
    <w:rsid w:val="4F1A4E2E"/>
    <w:rsid w:val="5F940188"/>
    <w:rsid w:val="69AA08BB"/>
    <w:rsid w:val="7EBC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2019-12-17T02:56:00Z</dcterms:created>
  <dc:creator>admin</dc:creator>
  <cp:lastModifiedBy>lenovo</cp:lastModifiedBy>
  <dcterms:modified xsi:type="dcterms:W3CDTF">2019-12-18T07:45:21Z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