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widowControl/>
        <w:suppressLineNumbers w:val="0"/>
        <w:spacing w:before="30" w:beforeAutospacing="0" w:after="30" w:afterAutospacing="0" w:line="315" w:lineRule="atLeast"/>
        <w:ind w:left="0" w:firstLine="420"/>
        <w:jc w:val="center"/>
        <w:rPr>
          <w:rFonts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w:t>
      </w:r>
      <w:bookmarkStart w:id="0" w:name="_GoBack"/>
      <w:r>
        <w:rPr>
          <w:rFonts w:hint="default" w:ascii="sans-serif" w:hAnsi="sans-serif" w:eastAsia="sans-serif" w:cs="sans-serif"/>
          <w:i w:val="0"/>
          <w:iCs w:val="0"/>
          <w:caps w:val="0"/>
          <w:color w:val="000000"/>
          <w:spacing w:val="0"/>
          <w:sz w:val="27"/>
          <w:szCs w:val="27"/>
        </w:rPr>
        <w:t>九江市城市居住区配套设施管理条例</w:t>
      </w:r>
    </w:p>
    <w:bookmarkEnd w:id="0"/>
    <w:p>
      <w:pPr>
        <w:pStyle w:val="10"/>
        <w:keepNext w:val="0"/>
        <w:keepLines w:val="0"/>
        <w:widowControl/>
        <w:suppressLineNumbers w:val="0"/>
        <w:spacing w:before="30" w:beforeAutospacing="0" w:after="30" w:afterAutospacing="0" w:line="315" w:lineRule="atLeast"/>
        <w:ind w:left="0" w:firstLine="420"/>
        <w:jc w:val="center"/>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(2023年9月27日九江市第十六届人民代表大会常务委员会第十六次会议通过  2023年11月30日江西省第十四届人民代表大会常务委员会第五次会议批准)</w:t>
      </w:r>
    </w:p>
    <w:p>
      <w:pPr>
        <w:pStyle w:val="10"/>
        <w:keepNext w:val="0"/>
        <w:keepLines w:val="0"/>
        <w:widowControl/>
        <w:suppressLineNumbers w:val="0"/>
        <w:spacing w:before="30" w:beforeAutospacing="0" w:after="30" w:afterAutospacing="0"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目   录</w:t>
      </w:r>
    </w:p>
    <w:p>
      <w:pPr>
        <w:pStyle w:val="10"/>
        <w:keepNext w:val="0"/>
        <w:keepLines w:val="0"/>
        <w:widowControl/>
        <w:suppressLineNumbers w:val="0"/>
        <w:spacing w:before="30" w:beforeAutospacing="0" w:after="30" w:afterAutospacing="0"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第一章 总则</w:t>
      </w:r>
    </w:p>
    <w:p>
      <w:pPr>
        <w:pStyle w:val="10"/>
        <w:keepNext w:val="0"/>
        <w:keepLines w:val="0"/>
        <w:widowControl/>
        <w:suppressLineNumbers w:val="0"/>
        <w:spacing w:before="90" w:beforeAutospacing="0" w:after="90" w:afterAutospacing="0" w:line="315" w:lineRule="atLeast"/>
        <w:ind w:left="0" w:firstLine="420"/>
        <w:jc w:val="left"/>
      </w:pPr>
      <w:r>
        <w:rPr>
          <w:rFonts w:hint="default" w:ascii="sans-serif" w:hAnsi="sans-serif" w:eastAsia="sans-serif" w:cs="sans-serif"/>
          <w:i w:val="0"/>
          <w:iCs w:val="0"/>
          <w:caps w:val="0"/>
          <w:color w:val="000000"/>
          <w:spacing w:val="0"/>
          <w:sz w:val="27"/>
          <w:szCs w:val="27"/>
        </w:rPr>
        <w:t>第二章 城市居住区配套设施规划</w:t>
      </w:r>
    </w:p>
    <w:p>
      <w:pPr>
        <w:pStyle w:val="10"/>
        <w:keepNext w:val="0"/>
        <w:keepLines w:val="0"/>
        <w:widowControl/>
        <w:suppressLineNumbers w:val="0"/>
        <w:spacing w:before="90" w:beforeAutospacing="0" w:after="90" w:afterAutospacing="0" w:line="315" w:lineRule="atLeast"/>
        <w:ind w:left="0" w:firstLine="420"/>
        <w:jc w:val="left"/>
      </w:pPr>
      <w:r>
        <w:rPr>
          <w:rFonts w:hint="default" w:ascii="sans-serif" w:hAnsi="sans-serif" w:eastAsia="sans-serif" w:cs="sans-serif"/>
          <w:i w:val="0"/>
          <w:iCs w:val="0"/>
          <w:caps w:val="0"/>
          <w:color w:val="000000"/>
          <w:spacing w:val="0"/>
          <w:sz w:val="27"/>
          <w:szCs w:val="27"/>
        </w:rPr>
        <w:t>第三章 城市居住区配套设施建设</w:t>
      </w:r>
    </w:p>
    <w:p>
      <w:pPr>
        <w:pStyle w:val="10"/>
        <w:keepNext w:val="0"/>
        <w:keepLines w:val="0"/>
        <w:widowControl/>
        <w:suppressLineNumbers w:val="0"/>
        <w:spacing w:before="90" w:beforeAutospacing="0" w:after="90" w:afterAutospacing="0" w:line="315" w:lineRule="atLeast"/>
        <w:ind w:left="0" w:firstLine="420"/>
        <w:jc w:val="left"/>
      </w:pPr>
      <w:r>
        <w:rPr>
          <w:rFonts w:hint="default" w:ascii="sans-serif" w:hAnsi="sans-serif" w:eastAsia="sans-serif" w:cs="sans-serif"/>
          <w:i w:val="0"/>
          <w:iCs w:val="0"/>
          <w:caps w:val="0"/>
          <w:color w:val="000000"/>
          <w:spacing w:val="0"/>
          <w:sz w:val="27"/>
          <w:szCs w:val="27"/>
        </w:rPr>
        <w:t>第四章 城市居住区配套设施移交与监督管理</w:t>
      </w:r>
    </w:p>
    <w:p>
      <w:pPr>
        <w:pStyle w:val="10"/>
        <w:keepNext w:val="0"/>
        <w:keepLines w:val="0"/>
        <w:widowControl/>
        <w:suppressLineNumbers w:val="0"/>
        <w:spacing w:before="90" w:beforeAutospacing="0" w:after="90" w:afterAutospacing="0" w:line="315" w:lineRule="atLeast"/>
        <w:ind w:left="0" w:firstLine="420"/>
        <w:jc w:val="left"/>
      </w:pPr>
      <w:r>
        <w:rPr>
          <w:rFonts w:hint="default" w:ascii="sans-serif" w:hAnsi="sans-serif" w:eastAsia="sans-serif" w:cs="sans-serif"/>
          <w:i w:val="0"/>
          <w:iCs w:val="0"/>
          <w:caps w:val="0"/>
          <w:color w:val="000000"/>
          <w:spacing w:val="0"/>
          <w:sz w:val="27"/>
          <w:szCs w:val="27"/>
        </w:rPr>
        <w:t>第五章 法律责任</w:t>
      </w:r>
    </w:p>
    <w:p>
      <w:pPr>
        <w:pStyle w:val="10"/>
        <w:keepNext w:val="0"/>
        <w:keepLines w:val="0"/>
        <w:widowControl/>
        <w:suppressLineNumbers w:val="0"/>
        <w:spacing w:before="90" w:beforeAutospacing="0" w:after="90" w:afterAutospacing="0" w:line="315" w:lineRule="atLeast"/>
        <w:ind w:left="0" w:firstLine="420"/>
        <w:jc w:val="left"/>
      </w:pPr>
      <w:r>
        <w:rPr>
          <w:rFonts w:hint="default" w:ascii="sans-serif" w:hAnsi="sans-serif" w:eastAsia="sans-serif" w:cs="sans-serif"/>
          <w:i w:val="0"/>
          <w:iCs w:val="0"/>
          <w:caps w:val="0"/>
          <w:color w:val="000000"/>
          <w:spacing w:val="0"/>
          <w:sz w:val="27"/>
          <w:szCs w:val="27"/>
        </w:rPr>
        <w:t>第六章 附则</w:t>
      </w:r>
    </w:p>
    <w:p>
      <w:pPr>
        <w:pStyle w:val="10"/>
        <w:keepNext w:val="0"/>
        <w:keepLines w:val="0"/>
        <w:widowControl/>
        <w:suppressLineNumbers w:val="0"/>
        <w:spacing w:before="90" w:beforeAutospacing="0" w:after="90" w:afterAutospacing="0" w:line="315" w:lineRule="atLeast"/>
        <w:ind w:left="0" w:firstLine="420"/>
        <w:jc w:val="left"/>
      </w:pPr>
      <w:r>
        <w:rPr>
          <w:rFonts w:hint="default" w:ascii="sans-serif" w:hAnsi="sans-serif" w:eastAsia="sans-serif" w:cs="sans-serif"/>
          <w:i w:val="0"/>
          <w:iCs w:val="0"/>
          <w:caps w:val="0"/>
          <w:color w:val="000000"/>
          <w:spacing w:val="0"/>
          <w:sz w:val="27"/>
          <w:szCs w:val="27"/>
        </w:rPr>
        <w:t>第一章  总则</w:t>
      </w:r>
    </w:p>
    <w:p>
      <w:pPr>
        <w:pStyle w:val="10"/>
        <w:keepNext w:val="0"/>
        <w:keepLines w:val="0"/>
        <w:widowControl/>
        <w:suppressLineNumbers w:val="0"/>
        <w:spacing w:before="90" w:beforeAutospacing="0" w:after="90" w:afterAutospacing="0" w:line="315" w:lineRule="atLeast"/>
        <w:ind w:left="0" w:firstLine="420"/>
        <w:jc w:val="left"/>
      </w:pPr>
      <w:r>
        <w:rPr>
          <w:rFonts w:hint="default" w:ascii="sans-serif" w:hAnsi="sans-serif" w:eastAsia="sans-serif" w:cs="sans-serif"/>
          <w:i w:val="0"/>
          <w:iCs w:val="0"/>
          <w:caps w:val="0"/>
          <w:color w:val="000000"/>
          <w:spacing w:val="0"/>
          <w:sz w:val="27"/>
          <w:szCs w:val="27"/>
        </w:rPr>
        <w:t>第一条为了规范城市居住区配套设施的配置和管理,完善城市功能,营造良好居住环境,根据《中华人民共和国城乡规划法》《建设工程质量管理条例》《江西省城乡规划条例》等法律、法规,结合本市实际,制定本条例。</w:t>
      </w:r>
    </w:p>
    <w:p>
      <w:pPr>
        <w:pStyle w:val="10"/>
        <w:keepNext w:val="0"/>
        <w:keepLines w:val="0"/>
        <w:widowControl/>
        <w:suppressLineNumbers w:val="0"/>
        <w:spacing w:before="90" w:beforeAutospacing="0" w:after="90" w:afterAutospacing="0" w:line="315" w:lineRule="atLeast"/>
        <w:ind w:left="0" w:firstLine="420"/>
        <w:jc w:val="left"/>
      </w:pPr>
      <w:r>
        <w:rPr>
          <w:rFonts w:hint="default" w:ascii="sans-serif" w:hAnsi="sans-serif" w:eastAsia="sans-serif" w:cs="sans-serif"/>
          <w:i w:val="0"/>
          <w:iCs w:val="0"/>
          <w:caps w:val="0"/>
          <w:color w:val="000000"/>
          <w:spacing w:val="0"/>
          <w:sz w:val="27"/>
          <w:szCs w:val="27"/>
        </w:rPr>
        <w:t>第二条本市行政区域内城市居住区配套设施的规划、建设、移交和监督管理活动,适用本条例。市辖区内具体适用范围和县(市)实行城市管理的区域,分别由市、县(市)人民政府确定并公布。</w:t>
      </w:r>
    </w:p>
    <w:p>
      <w:pPr>
        <w:pStyle w:val="10"/>
        <w:keepNext w:val="0"/>
        <w:keepLines w:val="0"/>
        <w:widowControl/>
        <w:suppressLineNumbers w:val="0"/>
        <w:spacing w:before="90" w:beforeAutospacing="0" w:after="90" w:afterAutospacing="0" w:line="315" w:lineRule="atLeast"/>
        <w:ind w:left="0" w:firstLine="420"/>
        <w:jc w:val="left"/>
      </w:pPr>
      <w:r>
        <w:rPr>
          <w:rFonts w:hint="default" w:ascii="sans-serif" w:hAnsi="sans-serif" w:eastAsia="sans-serif" w:cs="sans-serif"/>
          <w:i w:val="0"/>
          <w:iCs w:val="0"/>
          <w:caps w:val="0"/>
          <w:color w:val="000000"/>
          <w:spacing w:val="0"/>
          <w:sz w:val="27"/>
          <w:szCs w:val="27"/>
        </w:rPr>
        <w:t>本条例所称城市居住区,是指城市中住宅建筑相对集中布局的地区,包括新建居住区和既有居住区。</w:t>
      </w:r>
    </w:p>
    <w:p>
      <w:pPr>
        <w:pStyle w:val="10"/>
        <w:keepNext w:val="0"/>
        <w:keepLines w:val="0"/>
        <w:widowControl/>
        <w:suppressLineNumbers w:val="0"/>
        <w:spacing w:before="90" w:beforeAutospacing="0" w:after="90" w:afterAutospacing="0" w:line="315" w:lineRule="atLeast"/>
        <w:ind w:left="0" w:firstLine="420"/>
        <w:jc w:val="left"/>
      </w:pPr>
      <w:r>
        <w:rPr>
          <w:rFonts w:hint="default" w:ascii="sans-serif" w:hAnsi="sans-serif" w:eastAsia="sans-serif" w:cs="sans-serif"/>
          <w:i w:val="0"/>
          <w:iCs w:val="0"/>
          <w:caps w:val="0"/>
          <w:color w:val="000000"/>
          <w:spacing w:val="0"/>
          <w:sz w:val="27"/>
          <w:szCs w:val="27"/>
        </w:rPr>
        <w:t>本条例所称配套设施,是指对应城市居住区分级配套规划建设,并与居住人口规模或者住宅建筑面积规模相匹配的生活服务设施,主要包括市政公用设施、基层公共管理与公共服务设施、交通场站及社区服务设施、便民服务设施、商业服务业设施等设施。</w:t>
      </w:r>
    </w:p>
    <w:p>
      <w:pPr>
        <w:pStyle w:val="10"/>
        <w:keepNext w:val="0"/>
        <w:keepLines w:val="0"/>
        <w:widowControl/>
        <w:suppressLineNumbers w:val="0"/>
        <w:spacing w:before="90" w:beforeAutospacing="0" w:after="90" w:afterAutospacing="0" w:line="315" w:lineRule="atLeast"/>
        <w:ind w:left="0" w:firstLine="420"/>
        <w:jc w:val="left"/>
      </w:pPr>
      <w:r>
        <w:rPr>
          <w:rFonts w:hint="default" w:ascii="sans-serif" w:hAnsi="sans-serif" w:eastAsia="sans-serif" w:cs="sans-serif"/>
          <w:i w:val="0"/>
          <w:iCs w:val="0"/>
          <w:caps w:val="0"/>
          <w:color w:val="000000"/>
          <w:spacing w:val="0"/>
          <w:sz w:val="27"/>
          <w:szCs w:val="27"/>
        </w:rPr>
        <w:t>第三条城市居住区配套设施的配置应当符合国土空间规划,遵循以人为本、因地制宜、合理布局的原则。鼓励依法运用互联网、大数据、云计算以及人工智能等信息技术,建设智慧城市居住区。</w:t>
      </w:r>
    </w:p>
    <w:p>
      <w:pPr>
        <w:pStyle w:val="10"/>
        <w:keepNext w:val="0"/>
        <w:keepLines w:val="0"/>
        <w:widowControl/>
        <w:suppressLineNumbers w:val="0"/>
        <w:spacing w:before="90" w:beforeAutospacing="0" w:after="90" w:afterAutospacing="0" w:line="315" w:lineRule="atLeast"/>
        <w:ind w:left="0" w:firstLine="420"/>
        <w:jc w:val="left"/>
      </w:pPr>
      <w:r>
        <w:rPr>
          <w:rFonts w:hint="default" w:ascii="sans-serif" w:hAnsi="sans-serif" w:eastAsia="sans-serif" w:cs="sans-serif"/>
          <w:i w:val="0"/>
          <w:iCs w:val="0"/>
          <w:caps w:val="0"/>
          <w:color w:val="000000"/>
          <w:spacing w:val="0"/>
          <w:sz w:val="27"/>
          <w:szCs w:val="27"/>
        </w:rPr>
        <w:t>第四条市、县(市、区)人民政府应当加强对城市居住区配套设施规划、建设、移交和监督管理工作的领导,建立健全城市居住区配套设施管理工作协调机制,统筹解决相关工作中的重大事项。</w:t>
      </w:r>
    </w:p>
    <w:p>
      <w:pPr>
        <w:pStyle w:val="10"/>
        <w:keepNext w:val="0"/>
        <w:keepLines w:val="0"/>
        <w:widowControl/>
        <w:suppressLineNumbers w:val="0"/>
        <w:spacing w:before="90" w:beforeAutospacing="0" w:after="90" w:afterAutospacing="0" w:line="315" w:lineRule="atLeast"/>
        <w:ind w:left="0" w:firstLine="420"/>
        <w:jc w:val="left"/>
      </w:pPr>
      <w:r>
        <w:rPr>
          <w:rFonts w:hint="default" w:ascii="sans-serif" w:hAnsi="sans-serif" w:eastAsia="sans-serif" w:cs="sans-serif"/>
          <w:i w:val="0"/>
          <w:iCs w:val="0"/>
          <w:caps w:val="0"/>
          <w:color w:val="000000"/>
          <w:spacing w:val="0"/>
          <w:sz w:val="27"/>
          <w:szCs w:val="27"/>
        </w:rPr>
        <w:t>乡(镇)人民政府、街道办事处根据县(市、区)人民政府的分工做好辖区内城市居住区配套设施管理相关工作。</w:t>
      </w:r>
    </w:p>
    <w:p>
      <w:pPr>
        <w:pStyle w:val="10"/>
        <w:keepNext w:val="0"/>
        <w:keepLines w:val="0"/>
        <w:widowControl/>
        <w:suppressLineNumbers w:val="0"/>
        <w:spacing w:before="90" w:beforeAutospacing="0" w:after="90" w:afterAutospacing="0" w:line="315" w:lineRule="atLeast"/>
        <w:ind w:left="0" w:firstLine="420"/>
        <w:jc w:val="left"/>
      </w:pPr>
      <w:r>
        <w:rPr>
          <w:rFonts w:hint="default" w:ascii="sans-serif" w:hAnsi="sans-serif" w:eastAsia="sans-serif" w:cs="sans-serif"/>
          <w:i w:val="0"/>
          <w:iCs w:val="0"/>
          <w:caps w:val="0"/>
          <w:color w:val="000000"/>
          <w:spacing w:val="0"/>
          <w:sz w:val="27"/>
          <w:szCs w:val="27"/>
        </w:rPr>
        <w:t>第五条市、县(市、区)人民政府住房和城乡建设主管部门会同同级自然资源等有关主管部门对本行政区域内的城市居住区配套设施建设活动实施统一监督管理。</w:t>
      </w:r>
    </w:p>
    <w:p>
      <w:pPr>
        <w:pStyle w:val="10"/>
        <w:keepNext w:val="0"/>
        <w:keepLines w:val="0"/>
        <w:widowControl/>
        <w:suppressLineNumbers w:val="0"/>
        <w:spacing w:before="90" w:beforeAutospacing="0" w:after="90" w:afterAutospacing="0" w:line="315" w:lineRule="atLeast"/>
        <w:ind w:left="0" w:firstLine="420"/>
        <w:jc w:val="left"/>
      </w:pPr>
      <w:r>
        <w:rPr>
          <w:rFonts w:hint="default" w:ascii="sans-serif" w:hAnsi="sans-serif" w:eastAsia="sans-serif" w:cs="sans-serif"/>
          <w:i w:val="0"/>
          <w:iCs w:val="0"/>
          <w:caps w:val="0"/>
          <w:color w:val="000000"/>
          <w:spacing w:val="0"/>
          <w:sz w:val="27"/>
          <w:szCs w:val="27"/>
        </w:rPr>
        <w:t>发展改革、教育、工业和信息化、公安、民政、交通运输、商务、文广新旅、卫生健康、应急管理、体育、市场监督管理、城市管理等部门和单位应当按照各自职责,做好城市居住区配套设施管理相关工作。</w:t>
      </w:r>
    </w:p>
    <w:p>
      <w:pPr>
        <w:pStyle w:val="10"/>
        <w:keepNext w:val="0"/>
        <w:keepLines w:val="0"/>
        <w:widowControl/>
        <w:suppressLineNumbers w:val="0"/>
        <w:spacing w:before="90" w:beforeAutospacing="0" w:after="90" w:afterAutospacing="0" w:line="315" w:lineRule="atLeast"/>
        <w:ind w:left="0" w:firstLine="420"/>
        <w:jc w:val="left"/>
      </w:pPr>
      <w:r>
        <w:rPr>
          <w:rFonts w:hint="default" w:ascii="sans-serif" w:hAnsi="sans-serif" w:eastAsia="sans-serif" w:cs="sans-serif"/>
          <w:i w:val="0"/>
          <w:iCs w:val="0"/>
          <w:caps w:val="0"/>
          <w:color w:val="000000"/>
          <w:spacing w:val="0"/>
          <w:sz w:val="27"/>
          <w:szCs w:val="27"/>
        </w:rPr>
        <w:t>第六条城市居住区按照国家有关规定以及居住区不同规模层级配置以下配套设施:</w:t>
      </w:r>
    </w:p>
    <w:p>
      <w:pPr>
        <w:pStyle w:val="10"/>
        <w:keepNext w:val="0"/>
        <w:keepLines w:val="0"/>
        <w:widowControl/>
        <w:suppressLineNumbers w:val="0"/>
        <w:spacing w:before="90" w:beforeAutospacing="0" w:after="90" w:afterAutospacing="0" w:line="315" w:lineRule="atLeast"/>
        <w:ind w:left="0" w:firstLine="420"/>
        <w:jc w:val="left"/>
      </w:pPr>
      <w:r>
        <w:rPr>
          <w:rFonts w:hint="default" w:ascii="sans-serif" w:hAnsi="sans-serif" w:eastAsia="sans-serif" w:cs="sans-serif"/>
          <w:i w:val="0"/>
          <w:iCs w:val="0"/>
          <w:caps w:val="0"/>
          <w:color w:val="000000"/>
          <w:spacing w:val="0"/>
          <w:sz w:val="27"/>
          <w:szCs w:val="27"/>
        </w:rPr>
        <w:t>(一)市政公用设施:包括城市道路(含桥梁)、供水、供电、燃气、消防、通信、排水防涝、园林绿化、环境卫生、道路照明等设施及其附属设施;</w:t>
      </w:r>
    </w:p>
    <w:p>
      <w:pPr>
        <w:pStyle w:val="10"/>
        <w:keepNext w:val="0"/>
        <w:keepLines w:val="0"/>
        <w:widowControl/>
        <w:suppressLineNumbers w:val="0"/>
        <w:spacing w:before="90" w:beforeAutospacing="0" w:after="90" w:afterAutospacing="0" w:line="315" w:lineRule="atLeast"/>
        <w:ind w:left="0" w:firstLine="420"/>
        <w:jc w:val="left"/>
      </w:pPr>
      <w:r>
        <w:rPr>
          <w:rFonts w:hint="default" w:ascii="sans-serif" w:hAnsi="sans-serif" w:eastAsia="sans-serif" w:cs="sans-serif"/>
          <w:i w:val="0"/>
          <w:iCs w:val="0"/>
          <w:caps w:val="0"/>
          <w:color w:val="000000"/>
          <w:spacing w:val="0"/>
          <w:sz w:val="27"/>
          <w:szCs w:val="27"/>
        </w:rPr>
        <w:t>(二)基层公共管理与公共服务设施:包括教育、养老、公共文化、体育、人防、应急避难、安全防范、社区卫生服务等;</w:t>
      </w:r>
    </w:p>
    <w:p>
      <w:pPr>
        <w:pStyle w:val="10"/>
        <w:keepNext w:val="0"/>
        <w:keepLines w:val="0"/>
        <w:widowControl/>
        <w:suppressLineNumbers w:val="0"/>
        <w:spacing w:before="90" w:beforeAutospacing="0" w:after="90" w:afterAutospacing="0" w:line="315" w:lineRule="atLeast"/>
        <w:ind w:left="0" w:firstLine="420"/>
        <w:jc w:val="left"/>
      </w:pPr>
      <w:r>
        <w:rPr>
          <w:rFonts w:hint="default" w:ascii="sans-serif" w:hAnsi="sans-serif" w:eastAsia="sans-serif" w:cs="sans-serif"/>
          <w:i w:val="0"/>
          <w:iCs w:val="0"/>
          <w:caps w:val="0"/>
          <w:color w:val="000000"/>
          <w:spacing w:val="0"/>
          <w:sz w:val="27"/>
          <w:szCs w:val="27"/>
        </w:rPr>
        <w:t>(三)交通场站及社区服务设施:包括公交车站、托育、社区服务站(含居委会、警务用房、残疾人康复室)、机动车 (非机动车) 停车场 (库)、生活垃圾分类收集站、再生资源回收点等;</w:t>
      </w:r>
    </w:p>
    <w:p>
      <w:pPr>
        <w:pStyle w:val="10"/>
        <w:keepNext w:val="0"/>
        <w:keepLines w:val="0"/>
        <w:widowControl/>
        <w:suppressLineNumbers w:val="0"/>
        <w:spacing w:before="90" w:beforeAutospacing="0" w:after="90" w:afterAutospacing="0" w:line="315" w:lineRule="atLeast"/>
        <w:ind w:left="0" w:firstLine="420"/>
        <w:jc w:val="left"/>
      </w:pPr>
      <w:r>
        <w:rPr>
          <w:rFonts w:hint="default" w:ascii="sans-serif" w:hAnsi="sans-serif" w:eastAsia="sans-serif" w:cs="sans-serif"/>
          <w:i w:val="0"/>
          <w:iCs w:val="0"/>
          <w:caps w:val="0"/>
          <w:color w:val="000000"/>
          <w:spacing w:val="0"/>
          <w:sz w:val="27"/>
          <w:szCs w:val="27"/>
        </w:rPr>
        <w:t>(四)便民服务设施:包括便利店、邮件和快递送达设施、充电设施、便民疏导点、公共晾晒设施等;</w:t>
      </w:r>
    </w:p>
    <w:p>
      <w:pPr>
        <w:pStyle w:val="10"/>
        <w:keepNext w:val="0"/>
        <w:keepLines w:val="0"/>
        <w:widowControl/>
        <w:suppressLineNumbers w:val="0"/>
        <w:spacing w:before="90" w:beforeAutospacing="0" w:after="90" w:afterAutospacing="0" w:line="315" w:lineRule="atLeast"/>
        <w:ind w:left="0" w:firstLine="420"/>
        <w:jc w:val="left"/>
      </w:pPr>
      <w:r>
        <w:rPr>
          <w:rFonts w:hint="default" w:ascii="sans-serif" w:hAnsi="sans-serif" w:eastAsia="sans-serif" w:cs="sans-serif"/>
          <w:i w:val="0"/>
          <w:iCs w:val="0"/>
          <w:caps w:val="0"/>
          <w:color w:val="000000"/>
          <w:spacing w:val="0"/>
          <w:sz w:val="27"/>
          <w:szCs w:val="27"/>
        </w:rPr>
        <w:t>(五)商业服务业设施:包括商场、菜市场或者生鲜超市、银行营业网点、电信营业网点、邮政营业场所、餐饮设施等。</w:t>
      </w:r>
    </w:p>
    <w:p>
      <w:pPr>
        <w:pStyle w:val="10"/>
        <w:keepNext w:val="0"/>
        <w:keepLines w:val="0"/>
        <w:widowControl/>
        <w:suppressLineNumbers w:val="0"/>
        <w:spacing w:before="90" w:beforeAutospacing="0" w:after="90" w:afterAutospacing="0" w:line="315" w:lineRule="atLeast"/>
        <w:ind w:left="0" w:firstLine="420"/>
        <w:jc w:val="left"/>
      </w:pPr>
      <w:r>
        <w:rPr>
          <w:rFonts w:hint="default" w:ascii="sans-serif" w:hAnsi="sans-serif" w:eastAsia="sans-serif" w:cs="sans-serif"/>
          <w:i w:val="0"/>
          <w:iCs w:val="0"/>
          <w:caps w:val="0"/>
          <w:color w:val="000000"/>
          <w:spacing w:val="0"/>
          <w:sz w:val="27"/>
          <w:szCs w:val="27"/>
        </w:rPr>
        <w:t>市、县(市、区)人民政府、建设单位应当执行国家关于城市居住区配套设施配置的强制性标准。</w:t>
      </w:r>
    </w:p>
    <w:p>
      <w:pPr>
        <w:pStyle w:val="10"/>
        <w:keepNext w:val="0"/>
        <w:keepLines w:val="0"/>
        <w:widowControl/>
        <w:suppressLineNumbers w:val="0"/>
        <w:spacing w:before="90" w:beforeAutospacing="0" w:after="90" w:afterAutospacing="0" w:line="315" w:lineRule="atLeast"/>
        <w:ind w:left="0" w:firstLine="420"/>
        <w:jc w:val="left"/>
      </w:pPr>
      <w:r>
        <w:rPr>
          <w:rFonts w:hint="default" w:ascii="sans-serif" w:hAnsi="sans-serif" w:eastAsia="sans-serif" w:cs="sans-serif"/>
          <w:i w:val="0"/>
          <w:iCs w:val="0"/>
          <w:caps w:val="0"/>
          <w:color w:val="000000"/>
          <w:spacing w:val="0"/>
          <w:sz w:val="27"/>
          <w:szCs w:val="27"/>
        </w:rPr>
        <w:t>第二章  城市居住区配套设施规划</w:t>
      </w:r>
    </w:p>
    <w:p>
      <w:pPr>
        <w:pStyle w:val="10"/>
        <w:keepNext w:val="0"/>
        <w:keepLines w:val="0"/>
        <w:widowControl/>
        <w:suppressLineNumbers w:val="0"/>
        <w:spacing w:before="90" w:beforeAutospacing="0" w:after="90" w:afterAutospacing="0" w:line="315" w:lineRule="atLeast"/>
        <w:ind w:left="0" w:firstLine="420"/>
        <w:jc w:val="left"/>
      </w:pPr>
      <w:r>
        <w:rPr>
          <w:rFonts w:hint="default" w:ascii="sans-serif" w:hAnsi="sans-serif" w:eastAsia="sans-serif" w:cs="sans-serif"/>
          <w:i w:val="0"/>
          <w:iCs w:val="0"/>
          <w:caps w:val="0"/>
          <w:color w:val="000000"/>
          <w:spacing w:val="0"/>
          <w:sz w:val="27"/>
          <w:szCs w:val="27"/>
        </w:rPr>
        <w:t>第七条住房和城乡建设、教育、工业和信息化、民政、交通运输、商务、文广新旅、卫生健康、体育、城市管理等部门编制的有关专项规划应当按照国家和省有关规定统筹城市居住区配套设施内容,并经市、县(市、区)人民政府批准后实施。相关专项规划应当遵循国土空间总体规划,不得违反总体规划强制性内容,其主要内容纳入详细规划。</w:t>
      </w:r>
    </w:p>
    <w:p>
      <w:pPr>
        <w:pStyle w:val="10"/>
        <w:keepNext w:val="0"/>
        <w:keepLines w:val="0"/>
        <w:widowControl/>
        <w:suppressLineNumbers w:val="0"/>
        <w:spacing w:before="90" w:beforeAutospacing="0" w:after="90" w:afterAutospacing="0" w:line="315" w:lineRule="atLeast"/>
        <w:ind w:left="0" w:firstLine="420"/>
        <w:jc w:val="left"/>
      </w:pPr>
      <w:r>
        <w:rPr>
          <w:rFonts w:hint="default" w:ascii="sans-serif" w:hAnsi="sans-serif" w:eastAsia="sans-serif" w:cs="sans-serif"/>
          <w:i w:val="0"/>
          <w:iCs w:val="0"/>
          <w:caps w:val="0"/>
          <w:color w:val="000000"/>
          <w:spacing w:val="0"/>
          <w:sz w:val="27"/>
          <w:szCs w:val="27"/>
        </w:rPr>
        <w:t>市、县(市)人民政府自然资源主管部门在组织编制控制性详细规划时,应当明确城市居住区配套设施的布局和建设规模,并征求有关部门的意见。市人民政府自然资源主管部门还应当征求有关区人民政府意见。</w:t>
      </w:r>
    </w:p>
    <w:p>
      <w:pPr>
        <w:pStyle w:val="10"/>
        <w:keepNext w:val="0"/>
        <w:keepLines w:val="0"/>
        <w:widowControl/>
        <w:suppressLineNumbers w:val="0"/>
        <w:spacing w:before="90" w:beforeAutospacing="0" w:after="90" w:afterAutospacing="0" w:line="315" w:lineRule="atLeast"/>
        <w:ind w:left="0" w:firstLine="420"/>
        <w:jc w:val="left"/>
      </w:pPr>
      <w:r>
        <w:rPr>
          <w:rFonts w:hint="default" w:ascii="sans-serif" w:hAnsi="sans-serif" w:eastAsia="sans-serif" w:cs="sans-serif"/>
          <w:i w:val="0"/>
          <w:iCs w:val="0"/>
          <w:caps w:val="0"/>
          <w:color w:val="000000"/>
          <w:spacing w:val="0"/>
          <w:sz w:val="27"/>
          <w:szCs w:val="27"/>
        </w:rPr>
        <w:t>第八条市、县(市)人民政府自然资源主管部门在组织编制控制性详细规划时,应当对山边、沿江、沿河以及滨湖等重点区域的城市居住区配套设施的配置进行分层控制与引导,增加开敞空间,保护城市天际线和水岸线。</w:t>
      </w:r>
    </w:p>
    <w:p>
      <w:pPr>
        <w:pStyle w:val="10"/>
        <w:keepNext w:val="0"/>
        <w:keepLines w:val="0"/>
        <w:widowControl/>
        <w:suppressLineNumbers w:val="0"/>
        <w:spacing w:before="90" w:beforeAutospacing="0" w:after="90" w:afterAutospacing="0" w:line="315" w:lineRule="atLeast"/>
        <w:ind w:left="0" w:firstLine="420"/>
        <w:jc w:val="left"/>
      </w:pPr>
      <w:r>
        <w:rPr>
          <w:rFonts w:hint="default" w:ascii="sans-serif" w:hAnsi="sans-serif" w:eastAsia="sans-serif" w:cs="sans-serif"/>
          <w:i w:val="0"/>
          <w:iCs w:val="0"/>
          <w:caps w:val="0"/>
          <w:color w:val="000000"/>
          <w:spacing w:val="0"/>
          <w:sz w:val="27"/>
          <w:szCs w:val="27"/>
        </w:rPr>
        <w:t>控制性详细规划应当与九江市历史文化名城保护规划相衔接,对具有历史文化价值的街道、建筑等予以保留和利用,保护城市历史文化风貌。</w:t>
      </w:r>
    </w:p>
    <w:p>
      <w:pPr>
        <w:pStyle w:val="10"/>
        <w:keepNext w:val="0"/>
        <w:keepLines w:val="0"/>
        <w:widowControl/>
        <w:suppressLineNumbers w:val="0"/>
        <w:spacing w:before="90" w:beforeAutospacing="0" w:after="90" w:afterAutospacing="0" w:line="315" w:lineRule="atLeast"/>
        <w:ind w:left="0" w:firstLine="420"/>
        <w:jc w:val="left"/>
      </w:pPr>
      <w:r>
        <w:rPr>
          <w:rFonts w:hint="default" w:ascii="sans-serif" w:hAnsi="sans-serif" w:eastAsia="sans-serif" w:cs="sans-serif"/>
          <w:i w:val="0"/>
          <w:iCs w:val="0"/>
          <w:caps w:val="0"/>
          <w:color w:val="000000"/>
          <w:spacing w:val="0"/>
          <w:sz w:val="27"/>
          <w:szCs w:val="27"/>
        </w:rPr>
        <w:t>第九条市、县(市、区)人民政府自然资源主管部门在出让或者划拨国有土地使用权前,应当依据控制性详细规划提出规划条件。规划条件应当包括该地块上需要建设城市居住区配套设施的名称、建设规模等内容,并征求有关部门意见,在土地出让合同或者土地划拨审批文件中予以明确。</w:t>
      </w:r>
    </w:p>
    <w:p>
      <w:pPr>
        <w:pStyle w:val="10"/>
        <w:keepNext w:val="0"/>
        <w:keepLines w:val="0"/>
        <w:widowControl/>
        <w:suppressLineNumbers w:val="0"/>
        <w:spacing w:before="90" w:beforeAutospacing="0" w:after="90" w:afterAutospacing="0" w:line="315" w:lineRule="atLeast"/>
        <w:ind w:left="0" w:firstLine="420"/>
        <w:jc w:val="left"/>
      </w:pPr>
      <w:r>
        <w:rPr>
          <w:rFonts w:hint="default" w:ascii="sans-serif" w:hAnsi="sans-serif" w:eastAsia="sans-serif" w:cs="sans-serif"/>
          <w:i w:val="0"/>
          <w:iCs w:val="0"/>
          <w:caps w:val="0"/>
          <w:color w:val="000000"/>
          <w:spacing w:val="0"/>
          <w:sz w:val="27"/>
          <w:szCs w:val="27"/>
        </w:rPr>
        <w:t>已确定的规划条件不得擅自变更。确需变更的,建设单位应当依法向市、县(市、区)人民政府自然资源主管部门提出申请。</w:t>
      </w:r>
    </w:p>
    <w:p>
      <w:pPr>
        <w:pStyle w:val="10"/>
        <w:keepNext w:val="0"/>
        <w:keepLines w:val="0"/>
        <w:widowControl/>
        <w:suppressLineNumbers w:val="0"/>
        <w:spacing w:before="90" w:beforeAutospacing="0" w:after="90" w:afterAutospacing="0" w:line="315" w:lineRule="atLeast"/>
        <w:ind w:left="0" w:firstLine="420"/>
        <w:jc w:val="left"/>
      </w:pPr>
      <w:r>
        <w:rPr>
          <w:rFonts w:hint="default" w:ascii="sans-serif" w:hAnsi="sans-serif" w:eastAsia="sans-serif" w:cs="sans-serif"/>
          <w:i w:val="0"/>
          <w:iCs w:val="0"/>
          <w:caps w:val="0"/>
          <w:color w:val="000000"/>
          <w:spacing w:val="0"/>
          <w:sz w:val="27"/>
          <w:szCs w:val="27"/>
        </w:rPr>
        <w:t>第十条市、县(市、区)人民政府自然资源主管部门在审核修建性详细规划或者建设工程设计方案时,应当对城市居住区配套设施的名称、建设规模等内容是否符合规划条件进行审查。</w:t>
      </w:r>
    </w:p>
    <w:p>
      <w:pPr>
        <w:pStyle w:val="10"/>
        <w:keepNext w:val="0"/>
        <w:keepLines w:val="0"/>
        <w:widowControl/>
        <w:suppressLineNumbers w:val="0"/>
        <w:spacing w:before="90" w:beforeAutospacing="0" w:after="90" w:afterAutospacing="0" w:line="315" w:lineRule="atLeast"/>
        <w:ind w:left="0" w:firstLine="420"/>
        <w:jc w:val="left"/>
      </w:pPr>
      <w:r>
        <w:rPr>
          <w:rFonts w:hint="default" w:ascii="sans-serif" w:hAnsi="sans-serif" w:eastAsia="sans-serif" w:cs="sans-serif"/>
          <w:i w:val="0"/>
          <w:iCs w:val="0"/>
          <w:caps w:val="0"/>
          <w:color w:val="000000"/>
          <w:spacing w:val="0"/>
          <w:sz w:val="27"/>
          <w:szCs w:val="27"/>
        </w:rPr>
        <w:t>第十一条城市居住区教育配套设施应当结合学龄人口的分布状况和义务教育均衡发展的要求,合理规划设置。市、县(市、区)人民政府教育主管部门应当会同同级自然资源主管部门,按照学校建设规划的要求编制本行政区域内教育设施布局专项规划,内容包括学校数量、办学规模及选址等。</w:t>
      </w:r>
    </w:p>
    <w:p>
      <w:pPr>
        <w:pStyle w:val="10"/>
        <w:keepNext w:val="0"/>
        <w:keepLines w:val="0"/>
        <w:widowControl/>
        <w:suppressLineNumbers w:val="0"/>
        <w:spacing w:before="90" w:beforeAutospacing="0" w:after="90" w:afterAutospacing="0" w:line="315" w:lineRule="atLeast"/>
        <w:ind w:left="0" w:firstLine="420"/>
        <w:jc w:val="left"/>
      </w:pPr>
      <w:r>
        <w:rPr>
          <w:rFonts w:hint="default" w:ascii="sans-serif" w:hAnsi="sans-serif" w:eastAsia="sans-serif" w:cs="sans-serif"/>
          <w:i w:val="0"/>
          <w:iCs w:val="0"/>
          <w:caps w:val="0"/>
          <w:color w:val="000000"/>
          <w:spacing w:val="0"/>
          <w:sz w:val="27"/>
          <w:szCs w:val="27"/>
        </w:rPr>
        <w:t>城市居住区配套幼儿园,应当根据幼儿园布局规划,按照国家和省有关标准、规定进行建设、管理和使用。</w:t>
      </w:r>
    </w:p>
    <w:p>
      <w:pPr>
        <w:pStyle w:val="10"/>
        <w:keepNext w:val="0"/>
        <w:keepLines w:val="0"/>
        <w:widowControl/>
        <w:suppressLineNumbers w:val="0"/>
        <w:spacing w:before="90" w:beforeAutospacing="0" w:after="90" w:afterAutospacing="0" w:line="315" w:lineRule="atLeast"/>
        <w:ind w:left="0" w:firstLine="420"/>
        <w:jc w:val="left"/>
      </w:pPr>
      <w:r>
        <w:rPr>
          <w:rFonts w:hint="default" w:ascii="sans-serif" w:hAnsi="sans-serif" w:eastAsia="sans-serif" w:cs="sans-serif"/>
          <w:i w:val="0"/>
          <w:iCs w:val="0"/>
          <w:caps w:val="0"/>
          <w:color w:val="000000"/>
          <w:spacing w:val="0"/>
          <w:sz w:val="27"/>
          <w:szCs w:val="27"/>
        </w:rPr>
        <w:t>第十二条城市居住区配套养老服务设施应当与住宅建设项目同步规划、同步建设、同步验收、同步交付。</w:t>
      </w:r>
    </w:p>
    <w:p>
      <w:pPr>
        <w:pStyle w:val="10"/>
        <w:keepNext w:val="0"/>
        <w:keepLines w:val="0"/>
        <w:widowControl/>
        <w:suppressLineNumbers w:val="0"/>
        <w:spacing w:before="90" w:beforeAutospacing="0" w:after="90" w:afterAutospacing="0" w:line="315" w:lineRule="atLeast"/>
        <w:ind w:left="0" w:firstLine="420"/>
        <w:jc w:val="left"/>
      </w:pPr>
      <w:r>
        <w:rPr>
          <w:rFonts w:hint="default" w:ascii="sans-serif" w:hAnsi="sans-serif" w:eastAsia="sans-serif" w:cs="sans-serif"/>
          <w:i w:val="0"/>
          <w:iCs w:val="0"/>
          <w:caps w:val="0"/>
          <w:color w:val="000000"/>
          <w:spacing w:val="0"/>
          <w:sz w:val="27"/>
          <w:szCs w:val="27"/>
        </w:rPr>
        <w:t>城市居住区分期建设的,配套的养老服务设施应当与首期住宅建设项目同步建成交付使用,且不得拆分;确实无法安排在首期的,配套的养老服务设施应当在住宅总规模完成百分之五十之前同步建设完成。</w:t>
      </w:r>
    </w:p>
    <w:p>
      <w:pPr>
        <w:pStyle w:val="10"/>
        <w:keepNext w:val="0"/>
        <w:keepLines w:val="0"/>
        <w:widowControl/>
        <w:suppressLineNumbers w:val="0"/>
        <w:spacing w:before="90" w:beforeAutospacing="0" w:after="90" w:afterAutospacing="0" w:line="315" w:lineRule="atLeast"/>
        <w:ind w:left="0" w:firstLine="420"/>
        <w:jc w:val="left"/>
      </w:pPr>
      <w:r>
        <w:rPr>
          <w:rFonts w:hint="default" w:ascii="sans-serif" w:hAnsi="sans-serif" w:eastAsia="sans-serif" w:cs="sans-serif"/>
          <w:i w:val="0"/>
          <w:iCs w:val="0"/>
          <w:caps w:val="0"/>
          <w:color w:val="000000"/>
          <w:spacing w:val="0"/>
          <w:sz w:val="27"/>
          <w:szCs w:val="27"/>
        </w:rPr>
        <w:t>养老服务设施应当安排在合理位置,并安排在建筑的低层,安排在建筑二层以上的应当设置无障碍电梯;不得安排在地下层、半地下层和夹层。</w:t>
      </w:r>
    </w:p>
    <w:p>
      <w:pPr>
        <w:pStyle w:val="10"/>
        <w:keepNext w:val="0"/>
        <w:keepLines w:val="0"/>
        <w:widowControl/>
        <w:suppressLineNumbers w:val="0"/>
        <w:spacing w:before="90" w:beforeAutospacing="0" w:after="90" w:afterAutospacing="0" w:line="315" w:lineRule="atLeast"/>
        <w:ind w:left="0" w:firstLine="420"/>
        <w:jc w:val="left"/>
      </w:pPr>
      <w:r>
        <w:rPr>
          <w:rFonts w:hint="default" w:ascii="sans-serif" w:hAnsi="sans-serif" w:eastAsia="sans-serif" w:cs="sans-serif"/>
          <w:i w:val="0"/>
          <w:iCs w:val="0"/>
          <w:caps w:val="0"/>
          <w:color w:val="000000"/>
          <w:spacing w:val="0"/>
          <w:sz w:val="27"/>
          <w:szCs w:val="27"/>
        </w:rPr>
        <w:t>第十三条市、县(市、区)人民政府应当按照国家有关强制性标准和规范在新建居住区规划、建设与常住人口规模相适应的婴幼儿照护服务设施及配套安全设施,并与住宅建设项目同步验收、同步交付。</w:t>
      </w:r>
    </w:p>
    <w:p>
      <w:pPr>
        <w:pStyle w:val="10"/>
        <w:keepNext w:val="0"/>
        <w:keepLines w:val="0"/>
        <w:widowControl/>
        <w:suppressLineNumbers w:val="0"/>
        <w:spacing w:before="90" w:beforeAutospacing="0" w:after="90" w:afterAutospacing="0" w:line="315" w:lineRule="atLeast"/>
        <w:ind w:left="0" w:firstLine="420"/>
        <w:jc w:val="left"/>
      </w:pPr>
      <w:r>
        <w:rPr>
          <w:rFonts w:hint="default" w:ascii="sans-serif" w:hAnsi="sans-serif" w:eastAsia="sans-serif" w:cs="sans-serif"/>
          <w:i w:val="0"/>
          <w:iCs w:val="0"/>
          <w:caps w:val="0"/>
          <w:color w:val="000000"/>
          <w:spacing w:val="0"/>
          <w:sz w:val="27"/>
          <w:szCs w:val="27"/>
        </w:rPr>
        <w:t>第十四条城市居住区配套公共文化设施应当按照国家和省有关标准、规定规划和建设。公共文化设施的种类、数量、规模和布局,应当结合当地经济社会发展水平、人口状况、环境条件、文化特色以及公共文化事业发展的需要统筹确定。</w:t>
      </w:r>
    </w:p>
    <w:p>
      <w:pPr>
        <w:pStyle w:val="10"/>
        <w:keepNext w:val="0"/>
        <w:keepLines w:val="0"/>
        <w:widowControl/>
        <w:suppressLineNumbers w:val="0"/>
        <w:spacing w:before="90" w:beforeAutospacing="0" w:after="90" w:afterAutospacing="0" w:line="315" w:lineRule="atLeast"/>
        <w:ind w:left="0" w:firstLine="420"/>
        <w:jc w:val="left"/>
      </w:pPr>
      <w:r>
        <w:rPr>
          <w:rFonts w:hint="default" w:ascii="sans-serif" w:hAnsi="sans-serif" w:eastAsia="sans-serif" w:cs="sans-serif"/>
          <w:i w:val="0"/>
          <w:iCs w:val="0"/>
          <w:caps w:val="0"/>
          <w:color w:val="000000"/>
          <w:spacing w:val="0"/>
          <w:sz w:val="27"/>
          <w:szCs w:val="27"/>
        </w:rPr>
        <w:t>住宅建设项目配套建设的公共文化设施,应当与住宅建设项目的主体工程同步设计、同步施工、同步投入使用。</w:t>
      </w:r>
    </w:p>
    <w:p>
      <w:pPr>
        <w:pStyle w:val="10"/>
        <w:keepNext w:val="0"/>
        <w:keepLines w:val="0"/>
        <w:widowControl/>
        <w:suppressLineNumbers w:val="0"/>
        <w:spacing w:before="90" w:beforeAutospacing="0" w:after="90" w:afterAutospacing="0" w:line="315" w:lineRule="atLeast"/>
        <w:ind w:left="0" w:firstLine="420"/>
        <w:jc w:val="left"/>
      </w:pPr>
      <w:r>
        <w:rPr>
          <w:rFonts w:hint="default" w:ascii="sans-serif" w:hAnsi="sans-serif" w:eastAsia="sans-serif" w:cs="sans-serif"/>
          <w:i w:val="0"/>
          <w:iCs w:val="0"/>
          <w:caps w:val="0"/>
          <w:color w:val="000000"/>
          <w:spacing w:val="0"/>
          <w:sz w:val="27"/>
          <w:szCs w:val="27"/>
        </w:rPr>
        <w:t>第十五条社区卫生服务配套设施的设置,应当遵守有关法律、法规和国家有关卫生工作的规定。</w:t>
      </w:r>
    </w:p>
    <w:p>
      <w:pPr>
        <w:pStyle w:val="10"/>
        <w:keepNext w:val="0"/>
        <w:keepLines w:val="0"/>
        <w:widowControl/>
        <w:suppressLineNumbers w:val="0"/>
        <w:spacing w:before="90" w:beforeAutospacing="0" w:after="90" w:afterAutospacing="0" w:line="315" w:lineRule="atLeast"/>
        <w:ind w:left="0" w:firstLine="420"/>
        <w:jc w:val="left"/>
      </w:pPr>
      <w:r>
        <w:rPr>
          <w:rFonts w:hint="default" w:ascii="sans-serif" w:hAnsi="sans-serif" w:eastAsia="sans-serif" w:cs="sans-serif"/>
          <w:i w:val="0"/>
          <w:iCs w:val="0"/>
          <w:caps w:val="0"/>
          <w:color w:val="000000"/>
          <w:spacing w:val="0"/>
          <w:sz w:val="27"/>
          <w:szCs w:val="27"/>
        </w:rPr>
        <w:t>鼓励社区卫生服务中心设置在相对独立的低层、多层建筑;在公共建筑内的,支持设置在相对独立区域的首层或者带有首层的连续楼层。社区卫生服务站与公共建筑合并建设时,鼓励设置在首层。</w:t>
      </w:r>
    </w:p>
    <w:p>
      <w:pPr>
        <w:pStyle w:val="10"/>
        <w:keepNext w:val="0"/>
        <w:keepLines w:val="0"/>
        <w:widowControl/>
        <w:suppressLineNumbers w:val="0"/>
        <w:spacing w:before="90" w:beforeAutospacing="0" w:after="90" w:afterAutospacing="0" w:line="315" w:lineRule="atLeast"/>
        <w:ind w:left="0" w:firstLine="420"/>
        <w:jc w:val="left"/>
      </w:pPr>
      <w:r>
        <w:rPr>
          <w:rFonts w:hint="default" w:ascii="sans-serif" w:hAnsi="sans-serif" w:eastAsia="sans-serif" w:cs="sans-serif"/>
          <w:i w:val="0"/>
          <w:iCs w:val="0"/>
          <w:caps w:val="0"/>
          <w:color w:val="000000"/>
          <w:spacing w:val="0"/>
          <w:sz w:val="27"/>
          <w:szCs w:val="27"/>
        </w:rPr>
        <w:t>第十六条市、县(市、区)人民政府应当结合城市居住区所处区位、用地及公共交通条件等因素,按照下列规定配置机动车和非机动车停车场(库):</w:t>
      </w:r>
    </w:p>
    <w:p>
      <w:pPr>
        <w:pStyle w:val="10"/>
        <w:keepNext w:val="0"/>
        <w:keepLines w:val="0"/>
        <w:widowControl/>
        <w:suppressLineNumbers w:val="0"/>
        <w:spacing w:before="90" w:beforeAutospacing="0" w:after="90" w:afterAutospacing="0" w:line="315" w:lineRule="atLeast"/>
        <w:ind w:left="0" w:firstLine="420"/>
        <w:jc w:val="left"/>
      </w:pPr>
      <w:r>
        <w:rPr>
          <w:rFonts w:hint="default" w:ascii="sans-serif" w:hAnsi="sans-serif" w:eastAsia="sans-serif" w:cs="sans-serif"/>
          <w:i w:val="0"/>
          <w:iCs w:val="0"/>
          <w:caps w:val="0"/>
          <w:color w:val="000000"/>
          <w:spacing w:val="0"/>
          <w:sz w:val="27"/>
          <w:szCs w:val="27"/>
        </w:rPr>
        <w:t>(一)地上停车位优先设置多层停车库或者机械式停车设施;</w:t>
      </w:r>
    </w:p>
    <w:p>
      <w:pPr>
        <w:pStyle w:val="10"/>
        <w:keepNext w:val="0"/>
        <w:keepLines w:val="0"/>
        <w:widowControl/>
        <w:suppressLineNumbers w:val="0"/>
        <w:spacing w:before="90" w:beforeAutospacing="0" w:after="90" w:afterAutospacing="0" w:line="315" w:lineRule="atLeast"/>
        <w:ind w:left="0" w:firstLine="420"/>
        <w:jc w:val="left"/>
      </w:pPr>
      <w:r>
        <w:rPr>
          <w:rFonts w:hint="default" w:ascii="sans-serif" w:hAnsi="sans-serif" w:eastAsia="sans-serif" w:cs="sans-serif"/>
          <w:i w:val="0"/>
          <w:iCs w:val="0"/>
          <w:caps w:val="0"/>
          <w:color w:val="000000"/>
          <w:spacing w:val="0"/>
          <w:sz w:val="27"/>
          <w:szCs w:val="27"/>
        </w:rPr>
        <w:t>(二)机动车停车场(库)内设有无障碍机动车位,并设置必要的老年人、残疾人专用车位和辅助工具用位;</w:t>
      </w:r>
    </w:p>
    <w:p>
      <w:pPr>
        <w:pStyle w:val="10"/>
        <w:keepNext w:val="0"/>
        <w:keepLines w:val="0"/>
        <w:widowControl/>
        <w:suppressLineNumbers w:val="0"/>
        <w:spacing w:before="90" w:beforeAutospacing="0" w:after="90" w:afterAutospacing="0" w:line="315" w:lineRule="atLeast"/>
        <w:ind w:left="0" w:firstLine="420"/>
        <w:jc w:val="left"/>
      </w:pPr>
      <w:r>
        <w:rPr>
          <w:rFonts w:hint="default" w:ascii="sans-serif" w:hAnsi="sans-serif" w:eastAsia="sans-serif" w:cs="sans-serif"/>
          <w:i w:val="0"/>
          <w:iCs w:val="0"/>
          <w:caps w:val="0"/>
          <w:color w:val="000000"/>
          <w:spacing w:val="0"/>
          <w:sz w:val="27"/>
          <w:szCs w:val="27"/>
        </w:rPr>
        <w:t>(三)非机动车停车场(库)设置在方便居民使用的位置;</w:t>
      </w:r>
    </w:p>
    <w:p>
      <w:pPr>
        <w:pStyle w:val="10"/>
        <w:keepNext w:val="0"/>
        <w:keepLines w:val="0"/>
        <w:widowControl/>
        <w:suppressLineNumbers w:val="0"/>
        <w:spacing w:before="90" w:beforeAutospacing="0" w:after="90" w:afterAutospacing="0" w:line="315" w:lineRule="atLeast"/>
        <w:ind w:left="0" w:firstLine="420"/>
        <w:jc w:val="left"/>
      </w:pPr>
      <w:r>
        <w:rPr>
          <w:rFonts w:hint="default" w:ascii="sans-serif" w:hAnsi="sans-serif" w:eastAsia="sans-serif" w:cs="sans-serif"/>
          <w:i w:val="0"/>
          <w:iCs w:val="0"/>
          <w:caps w:val="0"/>
          <w:color w:val="000000"/>
          <w:spacing w:val="0"/>
          <w:sz w:val="27"/>
          <w:szCs w:val="27"/>
        </w:rPr>
        <w:t>(四)新建居住区配建的机动车停车位具备充电基础设施安装条件,并根据实际需要建设充电设施。</w:t>
      </w:r>
    </w:p>
    <w:p>
      <w:pPr>
        <w:pStyle w:val="10"/>
        <w:keepNext w:val="0"/>
        <w:keepLines w:val="0"/>
        <w:widowControl/>
        <w:suppressLineNumbers w:val="0"/>
        <w:spacing w:before="90" w:beforeAutospacing="0" w:after="90" w:afterAutospacing="0" w:line="315" w:lineRule="atLeast"/>
        <w:ind w:left="0" w:firstLine="420"/>
        <w:jc w:val="left"/>
      </w:pPr>
      <w:r>
        <w:rPr>
          <w:rFonts w:hint="default" w:ascii="sans-serif" w:hAnsi="sans-serif" w:eastAsia="sans-serif" w:cs="sans-serif"/>
          <w:i w:val="0"/>
          <w:iCs w:val="0"/>
          <w:caps w:val="0"/>
          <w:color w:val="000000"/>
          <w:spacing w:val="0"/>
          <w:sz w:val="27"/>
          <w:szCs w:val="27"/>
        </w:rPr>
        <w:t>第三章 城市居住区配套设施建设</w:t>
      </w:r>
    </w:p>
    <w:p>
      <w:pPr>
        <w:pStyle w:val="10"/>
        <w:keepNext w:val="0"/>
        <w:keepLines w:val="0"/>
        <w:widowControl/>
        <w:suppressLineNumbers w:val="0"/>
        <w:spacing w:before="90" w:beforeAutospacing="0" w:after="90" w:afterAutospacing="0" w:line="315" w:lineRule="atLeast"/>
        <w:ind w:left="0" w:firstLine="420"/>
        <w:jc w:val="left"/>
      </w:pPr>
      <w:r>
        <w:rPr>
          <w:rFonts w:hint="default" w:ascii="sans-serif" w:hAnsi="sans-serif" w:eastAsia="sans-serif" w:cs="sans-serif"/>
          <w:i w:val="0"/>
          <w:iCs w:val="0"/>
          <w:caps w:val="0"/>
          <w:color w:val="000000"/>
          <w:spacing w:val="0"/>
          <w:sz w:val="27"/>
          <w:szCs w:val="27"/>
        </w:rPr>
        <w:t>第十七条城市居住区配套设施按照下列规定确定投资建设主体:</w:t>
      </w:r>
    </w:p>
    <w:p>
      <w:pPr>
        <w:pStyle w:val="10"/>
        <w:keepNext w:val="0"/>
        <w:keepLines w:val="0"/>
        <w:widowControl/>
        <w:suppressLineNumbers w:val="0"/>
        <w:spacing w:before="90" w:beforeAutospacing="0" w:after="90" w:afterAutospacing="0" w:line="315" w:lineRule="atLeast"/>
        <w:ind w:left="0" w:firstLine="420"/>
        <w:jc w:val="left"/>
      </w:pPr>
      <w:r>
        <w:rPr>
          <w:rFonts w:hint="default" w:ascii="sans-serif" w:hAnsi="sans-serif" w:eastAsia="sans-serif" w:cs="sans-serif"/>
          <w:i w:val="0"/>
          <w:iCs w:val="0"/>
          <w:caps w:val="0"/>
          <w:color w:val="000000"/>
          <w:spacing w:val="0"/>
          <w:sz w:val="27"/>
          <w:szCs w:val="27"/>
        </w:rPr>
        <w:t>(一)符合划拨用地条件的城市居住区配套设施,由政府或者政府相关部门投资建设。鼓励社会资本参与投资建设。法律、行政法规和省地方性法规另有规定的,适用其规定。</w:t>
      </w:r>
    </w:p>
    <w:p>
      <w:pPr>
        <w:pStyle w:val="10"/>
        <w:keepNext w:val="0"/>
        <w:keepLines w:val="0"/>
        <w:widowControl/>
        <w:suppressLineNumbers w:val="0"/>
        <w:spacing w:before="90" w:beforeAutospacing="0" w:after="90" w:afterAutospacing="0" w:line="315" w:lineRule="atLeast"/>
        <w:ind w:left="0" w:firstLine="420"/>
        <w:jc w:val="left"/>
      </w:pPr>
      <w:r>
        <w:rPr>
          <w:rFonts w:hint="default" w:ascii="sans-serif" w:hAnsi="sans-serif" w:eastAsia="sans-serif" w:cs="sans-serif"/>
          <w:i w:val="0"/>
          <w:iCs w:val="0"/>
          <w:caps w:val="0"/>
          <w:color w:val="000000"/>
          <w:spacing w:val="0"/>
          <w:sz w:val="27"/>
          <w:szCs w:val="27"/>
        </w:rPr>
        <w:t>(二)符合出让用地条件的城市居住区配套设施,按照国家和省有关规定进行投资建设。</w:t>
      </w:r>
    </w:p>
    <w:p>
      <w:pPr>
        <w:pStyle w:val="10"/>
        <w:keepNext w:val="0"/>
        <w:keepLines w:val="0"/>
        <w:widowControl/>
        <w:suppressLineNumbers w:val="0"/>
        <w:spacing w:before="90" w:beforeAutospacing="0" w:after="90" w:afterAutospacing="0" w:line="315" w:lineRule="atLeast"/>
        <w:ind w:left="0" w:firstLine="420"/>
        <w:jc w:val="left"/>
      </w:pPr>
      <w:r>
        <w:rPr>
          <w:rFonts w:hint="default" w:ascii="sans-serif" w:hAnsi="sans-serif" w:eastAsia="sans-serif" w:cs="sans-serif"/>
          <w:i w:val="0"/>
          <w:iCs w:val="0"/>
          <w:caps w:val="0"/>
          <w:color w:val="000000"/>
          <w:spacing w:val="0"/>
          <w:sz w:val="27"/>
          <w:szCs w:val="27"/>
        </w:rPr>
        <w:t>第十八条  建设单位在报批施工图设计文件时,应当在施工图设计说明中注明城市居住区配套设施的名称、建设地点、建筑面积等内容。</w:t>
      </w:r>
    </w:p>
    <w:p>
      <w:pPr>
        <w:pStyle w:val="10"/>
        <w:keepNext w:val="0"/>
        <w:keepLines w:val="0"/>
        <w:widowControl/>
        <w:suppressLineNumbers w:val="0"/>
        <w:spacing w:before="90" w:beforeAutospacing="0" w:after="90" w:afterAutospacing="0" w:line="315" w:lineRule="atLeast"/>
        <w:ind w:left="0" w:firstLine="420"/>
        <w:jc w:val="left"/>
      </w:pPr>
      <w:r>
        <w:rPr>
          <w:rFonts w:hint="default" w:ascii="sans-serif" w:hAnsi="sans-serif" w:eastAsia="sans-serif" w:cs="sans-serif"/>
          <w:i w:val="0"/>
          <w:iCs w:val="0"/>
          <w:caps w:val="0"/>
          <w:color w:val="000000"/>
          <w:spacing w:val="0"/>
          <w:sz w:val="27"/>
          <w:szCs w:val="27"/>
        </w:rPr>
        <w:t>市、县(市、区)人民政府住房和城乡建设主管部门或者其他有关部门应当按照国家有关规定对报批的施工图设计文件进行审查。施工图设计文件未经审查批准的,不得使用。</w:t>
      </w:r>
    </w:p>
    <w:p>
      <w:pPr>
        <w:pStyle w:val="10"/>
        <w:keepNext w:val="0"/>
        <w:keepLines w:val="0"/>
        <w:widowControl/>
        <w:suppressLineNumbers w:val="0"/>
        <w:spacing w:before="90" w:beforeAutospacing="0" w:after="90" w:afterAutospacing="0" w:line="315" w:lineRule="atLeast"/>
        <w:ind w:left="0" w:firstLine="420"/>
        <w:jc w:val="left"/>
      </w:pPr>
      <w:r>
        <w:rPr>
          <w:rFonts w:hint="default" w:ascii="sans-serif" w:hAnsi="sans-serif" w:eastAsia="sans-serif" w:cs="sans-serif"/>
          <w:i w:val="0"/>
          <w:iCs w:val="0"/>
          <w:caps w:val="0"/>
          <w:color w:val="000000"/>
          <w:spacing w:val="0"/>
          <w:sz w:val="27"/>
          <w:szCs w:val="27"/>
        </w:rPr>
        <w:t>第十九条建设单位应当在施工现场醒目位置公示修建性详细规划或者建设工程设计方案总平面图,并注明城市居住区配套设施的名称、位置、建设规模等。</w:t>
      </w:r>
    </w:p>
    <w:p>
      <w:pPr>
        <w:pStyle w:val="10"/>
        <w:keepNext w:val="0"/>
        <w:keepLines w:val="0"/>
        <w:widowControl/>
        <w:suppressLineNumbers w:val="0"/>
        <w:spacing w:before="90" w:beforeAutospacing="0" w:after="90" w:afterAutospacing="0" w:line="315" w:lineRule="atLeast"/>
        <w:ind w:left="0" w:firstLine="420"/>
        <w:jc w:val="left"/>
      </w:pPr>
      <w:r>
        <w:rPr>
          <w:rFonts w:hint="default" w:ascii="sans-serif" w:hAnsi="sans-serif" w:eastAsia="sans-serif" w:cs="sans-serif"/>
          <w:i w:val="0"/>
          <w:iCs w:val="0"/>
          <w:caps w:val="0"/>
          <w:color w:val="000000"/>
          <w:spacing w:val="0"/>
          <w:sz w:val="27"/>
          <w:szCs w:val="27"/>
        </w:rPr>
        <w:t>第二十条市、县(市、区)人民政府自然资源主管部门在建设工程规划核实时,应当核实建设单位是否按照规划条件进行配套设施建设。</w:t>
      </w:r>
    </w:p>
    <w:p>
      <w:pPr>
        <w:pStyle w:val="10"/>
        <w:keepNext w:val="0"/>
        <w:keepLines w:val="0"/>
        <w:widowControl/>
        <w:suppressLineNumbers w:val="0"/>
        <w:spacing w:before="90" w:beforeAutospacing="0" w:after="90" w:afterAutospacing="0" w:line="315" w:lineRule="atLeast"/>
        <w:ind w:left="0" w:firstLine="420"/>
        <w:jc w:val="left"/>
      </w:pPr>
      <w:r>
        <w:rPr>
          <w:rFonts w:hint="default" w:ascii="sans-serif" w:hAnsi="sans-serif" w:eastAsia="sans-serif" w:cs="sans-serif"/>
          <w:i w:val="0"/>
          <w:iCs w:val="0"/>
          <w:caps w:val="0"/>
          <w:color w:val="000000"/>
          <w:spacing w:val="0"/>
          <w:sz w:val="27"/>
          <w:szCs w:val="27"/>
        </w:rPr>
        <w:t>未经核实或者经核实不符合规划条件的,建设单位不得组织竣工验收。</w:t>
      </w:r>
    </w:p>
    <w:p>
      <w:pPr>
        <w:pStyle w:val="10"/>
        <w:keepNext w:val="0"/>
        <w:keepLines w:val="0"/>
        <w:widowControl/>
        <w:suppressLineNumbers w:val="0"/>
        <w:spacing w:before="90" w:beforeAutospacing="0" w:after="90" w:afterAutospacing="0" w:line="315" w:lineRule="atLeast"/>
        <w:ind w:left="0" w:firstLine="420"/>
        <w:jc w:val="left"/>
      </w:pPr>
      <w:r>
        <w:rPr>
          <w:rFonts w:hint="default" w:ascii="sans-serif" w:hAnsi="sans-serif" w:eastAsia="sans-serif" w:cs="sans-serif"/>
          <w:i w:val="0"/>
          <w:iCs w:val="0"/>
          <w:caps w:val="0"/>
          <w:color w:val="000000"/>
          <w:spacing w:val="0"/>
          <w:sz w:val="27"/>
          <w:szCs w:val="27"/>
        </w:rPr>
        <w:t>第二十一条建设单位在组织建设工程竣工验收时,应当对规划条件中的城市居住区配套设施进行验收。城市居住区配套设施经验收合格后,方可交付使用。</w:t>
      </w:r>
    </w:p>
    <w:p>
      <w:pPr>
        <w:pStyle w:val="10"/>
        <w:keepNext w:val="0"/>
        <w:keepLines w:val="0"/>
        <w:widowControl/>
        <w:suppressLineNumbers w:val="0"/>
        <w:spacing w:before="90" w:beforeAutospacing="0" w:after="90" w:afterAutospacing="0" w:line="315" w:lineRule="atLeast"/>
        <w:ind w:left="0" w:firstLine="420"/>
        <w:jc w:val="left"/>
      </w:pPr>
      <w:r>
        <w:rPr>
          <w:rFonts w:hint="default" w:ascii="sans-serif" w:hAnsi="sans-serif" w:eastAsia="sans-serif" w:cs="sans-serif"/>
          <w:i w:val="0"/>
          <w:iCs w:val="0"/>
          <w:caps w:val="0"/>
          <w:color w:val="000000"/>
          <w:spacing w:val="0"/>
          <w:sz w:val="27"/>
          <w:szCs w:val="27"/>
        </w:rPr>
        <w:t>建设单位应当自竣工验收之日起六个月内向市、县(市)人民政府住房和城乡建设主管部门报送有关竣工验收资料。</w:t>
      </w:r>
    </w:p>
    <w:p>
      <w:pPr>
        <w:pStyle w:val="10"/>
        <w:keepNext w:val="0"/>
        <w:keepLines w:val="0"/>
        <w:widowControl/>
        <w:suppressLineNumbers w:val="0"/>
        <w:spacing w:before="90" w:beforeAutospacing="0" w:after="90" w:afterAutospacing="0" w:line="315" w:lineRule="atLeast"/>
        <w:ind w:left="0" w:firstLine="420"/>
        <w:jc w:val="left"/>
      </w:pPr>
      <w:r>
        <w:rPr>
          <w:rFonts w:hint="default" w:ascii="sans-serif" w:hAnsi="sans-serif" w:eastAsia="sans-serif" w:cs="sans-serif"/>
          <w:i w:val="0"/>
          <w:iCs w:val="0"/>
          <w:caps w:val="0"/>
          <w:color w:val="000000"/>
          <w:spacing w:val="0"/>
          <w:sz w:val="27"/>
          <w:szCs w:val="27"/>
        </w:rPr>
        <w:t>第二十二条既有居住区可以采取补建、购置、置换、租赁、改造等方式逐步完善相关配套设施。</w:t>
      </w:r>
    </w:p>
    <w:p>
      <w:pPr>
        <w:pStyle w:val="10"/>
        <w:keepNext w:val="0"/>
        <w:keepLines w:val="0"/>
        <w:widowControl/>
        <w:suppressLineNumbers w:val="0"/>
        <w:spacing w:before="90" w:beforeAutospacing="0" w:after="90" w:afterAutospacing="0" w:line="315" w:lineRule="atLeast"/>
        <w:ind w:left="0" w:firstLine="420"/>
        <w:jc w:val="left"/>
      </w:pPr>
      <w:r>
        <w:rPr>
          <w:rFonts w:hint="default" w:ascii="sans-serif" w:hAnsi="sans-serif" w:eastAsia="sans-serif" w:cs="sans-serif"/>
          <w:i w:val="0"/>
          <w:iCs w:val="0"/>
          <w:caps w:val="0"/>
          <w:color w:val="000000"/>
          <w:spacing w:val="0"/>
          <w:sz w:val="27"/>
          <w:szCs w:val="27"/>
        </w:rPr>
        <w:t>市、县(市、区)人民政府应当合理确定居住区规模,划定既有居住区配套设施建设实施范围。鼓励相邻小区以及周边地区联动改造,共建共享各类配套设施、公共活动空间。</w:t>
      </w:r>
    </w:p>
    <w:p>
      <w:pPr>
        <w:pStyle w:val="10"/>
        <w:keepNext w:val="0"/>
        <w:keepLines w:val="0"/>
        <w:widowControl/>
        <w:suppressLineNumbers w:val="0"/>
        <w:spacing w:before="90" w:beforeAutospacing="0" w:after="90" w:afterAutospacing="0" w:line="315" w:lineRule="atLeast"/>
        <w:ind w:left="0" w:firstLine="420"/>
        <w:jc w:val="left"/>
      </w:pPr>
      <w:r>
        <w:rPr>
          <w:rFonts w:hint="default" w:ascii="sans-serif" w:hAnsi="sans-serif" w:eastAsia="sans-serif" w:cs="sans-serif"/>
          <w:i w:val="0"/>
          <w:iCs w:val="0"/>
          <w:caps w:val="0"/>
          <w:color w:val="000000"/>
          <w:spacing w:val="0"/>
          <w:sz w:val="27"/>
          <w:szCs w:val="27"/>
        </w:rPr>
        <w:t>既有居住区配套设施的改造,应当对存在安全隐患的供水、供电、燃气、通信、排水防涝等设施,以及养老、托育、停车、充电、生活垃圾分类、公共晾晒等急需设施进行优先改造。</w:t>
      </w:r>
    </w:p>
    <w:p>
      <w:pPr>
        <w:pStyle w:val="10"/>
        <w:keepNext w:val="0"/>
        <w:keepLines w:val="0"/>
        <w:widowControl/>
        <w:suppressLineNumbers w:val="0"/>
        <w:spacing w:before="90" w:beforeAutospacing="0" w:after="90" w:afterAutospacing="0" w:line="315" w:lineRule="atLeast"/>
        <w:ind w:left="0" w:firstLine="420"/>
        <w:jc w:val="left"/>
      </w:pPr>
      <w:r>
        <w:rPr>
          <w:rFonts w:hint="default" w:ascii="sans-serif" w:hAnsi="sans-serif" w:eastAsia="sans-serif" w:cs="sans-serif"/>
          <w:i w:val="0"/>
          <w:iCs w:val="0"/>
          <w:caps w:val="0"/>
          <w:color w:val="000000"/>
          <w:spacing w:val="0"/>
          <w:sz w:val="27"/>
          <w:szCs w:val="27"/>
        </w:rPr>
        <w:t>第二十三条既有居住区配套设施的改造,可以利用历史文化资源改造为文化活动中心(站)、文化长廊、博物馆、美术馆、剧院等设施。既有居住区配套设施的建设,应当依法保护历史文化名城名镇名村、历史文化街区、不可移动文物以及历史建筑。</w:t>
      </w:r>
    </w:p>
    <w:p>
      <w:pPr>
        <w:pStyle w:val="10"/>
        <w:keepNext w:val="0"/>
        <w:keepLines w:val="0"/>
        <w:widowControl/>
        <w:suppressLineNumbers w:val="0"/>
        <w:spacing w:before="90" w:beforeAutospacing="0" w:after="90" w:afterAutospacing="0" w:line="315" w:lineRule="atLeast"/>
        <w:ind w:left="0" w:firstLine="420"/>
        <w:jc w:val="left"/>
      </w:pPr>
      <w:r>
        <w:rPr>
          <w:rFonts w:hint="default" w:ascii="sans-serif" w:hAnsi="sans-serif" w:eastAsia="sans-serif" w:cs="sans-serif"/>
          <w:i w:val="0"/>
          <w:iCs w:val="0"/>
          <w:caps w:val="0"/>
          <w:color w:val="000000"/>
          <w:spacing w:val="0"/>
          <w:sz w:val="27"/>
          <w:szCs w:val="27"/>
        </w:rPr>
        <w:t>第四章 城市居住区配套设施移交与监督管理</w:t>
      </w:r>
    </w:p>
    <w:p>
      <w:pPr>
        <w:pStyle w:val="10"/>
        <w:keepNext w:val="0"/>
        <w:keepLines w:val="0"/>
        <w:widowControl/>
        <w:suppressLineNumbers w:val="0"/>
        <w:spacing w:before="90" w:beforeAutospacing="0" w:after="90" w:afterAutospacing="0" w:line="315" w:lineRule="atLeast"/>
        <w:ind w:left="0" w:firstLine="420"/>
        <w:jc w:val="left"/>
      </w:pPr>
      <w:r>
        <w:rPr>
          <w:rFonts w:hint="default" w:ascii="sans-serif" w:hAnsi="sans-serif" w:eastAsia="sans-serif" w:cs="sans-serif"/>
          <w:i w:val="0"/>
          <w:iCs w:val="0"/>
          <w:caps w:val="0"/>
          <w:color w:val="000000"/>
          <w:spacing w:val="0"/>
          <w:sz w:val="27"/>
          <w:szCs w:val="27"/>
        </w:rPr>
        <w:t>第二十四条市人民政府应当确定有关城市居住区配套设施的接收主体,制定移交标准,并向社会公布。</w:t>
      </w:r>
    </w:p>
    <w:p>
      <w:pPr>
        <w:pStyle w:val="10"/>
        <w:keepNext w:val="0"/>
        <w:keepLines w:val="0"/>
        <w:widowControl/>
        <w:suppressLineNumbers w:val="0"/>
        <w:spacing w:before="90" w:beforeAutospacing="0" w:after="90" w:afterAutospacing="0" w:line="315" w:lineRule="atLeast"/>
        <w:ind w:left="0" w:firstLine="420"/>
        <w:jc w:val="left"/>
      </w:pPr>
      <w:r>
        <w:rPr>
          <w:rFonts w:hint="default" w:ascii="sans-serif" w:hAnsi="sans-serif" w:eastAsia="sans-serif" w:cs="sans-serif"/>
          <w:i w:val="0"/>
          <w:iCs w:val="0"/>
          <w:caps w:val="0"/>
          <w:color w:val="000000"/>
          <w:spacing w:val="0"/>
          <w:sz w:val="27"/>
          <w:szCs w:val="27"/>
        </w:rPr>
        <w:t>建设单位在建设项目竣工验收合格后,应当办理城市居住区配套设施的移交手续。各接收主体应当按照移交标准接收,不得提高或者降低标准。</w:t>
      </w:r>
    </w:p>
    <w:p>
      <w:pPr>
        <w:pStyle w:val="10"/>
        <w:keepNext w:val="0"/>
        <w:keepLines w:val="0"/>
        <w:widowControl/>
        <w:suppressLineNumbers w:val="0"/>
        <w:spacing w:before="90" w:beforeAutospacing="0" w:after="90" w:afterAutospacing="0" w:line="315" w:lineRule="atLeast"/>
        <w:ind w:left="0" w:firstLine="420"/>
        <w:jc w:val="left"/>
      </w:pPr>
      <w:r>
        <w:rPr>
          <w:rFonts w:hint="default" w:ascii="sans-serif" w:hAnsi="sans-serif" w:eastAsia="sans-serif" w:cs="sans-serif"/>
          <w:i w:val="0"/>
          <w:iCs w:val="0"/>
          <w:caps w:val="0"/>
          <w:color w:val="000000"/>
          <w:spacing w:val="0"/>
          <w:sz w:val="27"/>
          <w:szCs w:val="27"/>
        </w:rPr>
        <w:t>第二十五条建设工程在保修范围和保修期限内发生质量问题的,施工单位应当履行保修义务。</w:t>
      </w:r>
    </w:p>
    <w:p>
      <w:pPr>
        <w:pStyle w:val="10"/>
        <w:keepNext w:val="0"/>
        <w:keepLines w:val="0"/>
        <w:widowControl/>
        <w:suppressLineNumbers w:val="0"/>
        <w:spacing w:before="90" w:beforeAutospacing="0" w:after="90" w:afterAutospacing="0" w:line="315" w:lineRule="atLeast"/>
        <w:ind w:left="0" w:firstLine="420"/>
        <w:jc w:val="left"/>
      </w:pPr>
      <w:r>
        <w:rPr>
          <w:rFonts w:hint="default" w:ascii="sans-serif" w:hAnsi="sans-serif" w:eastAsia="sans-serif" w:cs="sans-serif"/>
          <w:i w:val="0"/>
          <w:iCs w:val="0"/>
          <w:caps w:val="0"/>
          <w:color w:val="000000"/>
          <w:spacing w:val="0"/>
          <w:sz w:val="27"/>
          <w:szCs w:val="27"/>
        </w:rPr>
        <w:t>接收或者使用主体负责城市居住区配套设施的日常管理。</w:t>
      </w:r>
    </w:p>
    <w:p>
      <w:pPr>
        <w:pStyle w:val="10"/>
        <w:keepNext w:val="0"/>
        <w:keepLines w:val="0"/>
        <w:widowControl/>
        <w:suppressLineNumbers w:val="0"/>
        <w:spacing w:before="90" w:beforeAutospacing="0" w:after="90" w:afterAutospacing="0" w:line="315" w:lineRule="atLeast"/>
        <w:ind w:left="0" w:firstLine="420"/>
        <w:jc w:val="left"/>
      </w:pPr>
      <w:r>
        <w:rPr>
          <w:rFonts w:hint="default" w:ascii="sans-serif" w:hAnsi="sans-serif" w:eastAsia="sans-serif" w:cs="sans-serif"/>
          <w:i w:val="0"/>
          <w:iCs w:val="0"/>
          <w:caps w:val="0"/>
          <w:color w:val="000000"/>
          <w:spacing w:val="0"/>
          <w:sz w:val="27"/>
          <w:szCs w:val="27"/>
        </w:rPr>
        <w:t>第二十六条  城市居住区配套设施应当按照规划设计用途使用,确需改变用途的,按照国家和省有关规定办理。</w:t>
      </w:r>
    </w:p>
    <w:p>
      <w:pPr>
        <w:pStyle w:val="10"/>
        <w:keepNext w:val="0"/>
        <w:keepLines w:val="0"/>
        <w:widowControl/>
        <w:suppressLineNumbers w:val="0"/>
        <w:spacing w:before="90" w:beforeAutospacing="0" w:after="90" w:afterAutospacing="0" w:line="315" w:lineRule="atLeast"/>
        <w:ind w:left="0" w:firstLine="420"/>
        <w:jc w:val="left"/>
      </w:pPr>
      <w:r>
        <w:rPr>
          <w:rFonts w:hint="default" w:ascii="sans-serif" w:hAnsi="sans-serif" w:eastAsia="sans-serif" w:cs="sans-serif"/>
          <w:i w:val="0"/>
          <w:iCs w:val="0"/>
          <w:caps w:val="0"/>
          <w:color w:val="000000"/>
          <w:spacing w:val="0"/>
          <w:sz w:val="27"/>
          <w:szCs w:val="27"/>
        </w:rPr>
        <w:t>第二十七条城市居住区配套设施的有关主管部门、乡(镇)人民政府、街道办事处应当公布举报、投诉方式。对违反本条例行为的举报与投诉,属于职责范围内的,应当依法及时处理;不属于职责范围内的,应当转交有权处理的部门,并告知举报人或者投诉人。</w:t>
      </w:r>
    </w:p>
    <w:p>
      <w:pPr>
        <w:pStyle w:val="10"/>
        <w:keepNext w:val="0"/>
        <w:keepLines w:val="0"/>
        <w:widowControl/>
        <w:suppressLineNumbers w:val="0"/>
        <w:spacing w:before="90" w:beforeAutospacing="0" w:after="90" w:afterAutospacing="0" w:line="315" w:lineRule="atLeast"/>
        <w:ind w:left="0" w:firstLine="420"/>
        <w:jc w:val="left"/>
      </w:pPr>
      <w:r>
        <w:rPr>
          <w:rFonts w:hint="default" w:ascii="sans-serif" w:hAnsi="sans-serif" w:eastAsia="sans-serif" w:cs="sans-serif"/>
          <w:i w:val="0"/>
          <w:iCs w:val="0"/>
          <w:caps w:val="0"/>
          <w:color w:val="000000"/>
          <w:spacing w:val="0"/>
          <w:sz w:val="27"/>
          <w:szCs w:val="27"/>
        </w:rPr>
        <w:t>第五章 法律责任</w:t>
      </w:r>
    </w:p>
    <w:p>
      <w:pPr>
        <w:pStyle w:val="10"/>
        <w:keepNext w:val="0"/>
        <w:keepLines w:val="0"/>
        <w:widowControl/>
        <w:suppressLineNumbers w:val="0"/>
        <w:spacing w:before="90" w:beforeAutospacing="0" w:after="90" w:afterAutospacing="0" w:line="315" w:lineRule="atLeast"/>
        <w:ind w:left="0" w:firstLine="420"/>
        <w:jc w:val="left"/>
      </w:pPr>
      <w:r>
        <w:rPr>
          <w:rFonts w:hint="default" w:ascii="sans-serif" w:hAnsi="sans-serif" w:eastAsia="sans-serif" w:cs="sans-serif"/>
          <w:i w:val="0"/>
          <w:iCs w:val="0"/>
          <w:caps w:val="0"/>
          <w:color w:val="000000"/>
          <w:spacing w:val="0"/>
          <w:sz w:val="27"/>
          <w:szCs w:val="27"/>
        </w:rPr>
        <w:t>第二十八条违反本条例第十八条第二款规定,施工图设计文件未经审查或者审查不合格,建设单位擅自施工的,由市、县(市、区)人民政府住房和城乡建设主管部门或者其他有关部门责令改正,处二十万元以上五十万元以下罚款。</w:t>
      </w:r>
    </w:p>
    <w:p>
      <w:pPr>
        <w:pStyle w:val="10"/>
        <w:keepNext w:val="0"/>
        <w:keepLines w:val="0"/>
        <w:widowControl/>
        <w:suppressLineNumbers w:val="0"/>
        <w:spacing w:before="90" w:beforeAutospacing="0" w:after="90" w:afterAutospacing="0" w:line="315" w:lineRule="atLeast"/>
        <w:ind w:left="0" w:firstLine="420"/>
        <w:jc w:val="left"/>
      </w:pPr>
      <w:r>
        <w:rPr>
          <w:rFonts w:hint="default" w:ascii="sans-serif" w:hAnsi="sans-serif" w:eastAsia="sans-serif" w:cs="sans-serif"/>
          <w:i w:val="0"/>
          <w:iCs w:val="0"/>
          <w:caps w:val="0"/>
          <w:color w:val="000000"/>
          <w:spacing w:val="0"/>
          <w:sz w:val="27"/>
          <w:szCs w:val="27"/>
        </w:rPr>
        <w:t>第二十九条违反本条例第二十一条第二款规定,建设单位未自建设工程竣工验收之日起六个月内报送有关竣工验收资料的,由市、县(市)人民政府住房和城乡建设主管部门责令限期补报;逾期不补报的,处一万元以上五万元以下罚款。</w:t>
      </w:r>
    </w:p>
    <w:p>
      <w:pPr>
        <w:pStyle w:val="10"/>
        <w:keepNext w:val="0"/>
        <w:keepLines w:val="0"/>
        <w:widowControl/>
        <w:suppressLineNumbers w:val="0"/>
        <w:spacing w:before="90" w:beforeAutospacing="0" w:after="90" w:afterAutospacing="0" w:line="315" w:lineRule="atLeast"/>
        <w:ind w:left="0" w:firstLine="420"/>
        <w:jc w:val="left"/>
      </w:pPr>
      <w:r>
        <w:rPr>
          <w:rFonts w:hint="default" w:ascii="sans-serif" w:hAnsi="sans-serif" w:eastAsia="sans-serif" w:cs="sans-serif"/>
          <w:i w:val="0"/>
          <w:iCs w:val="0"/>
          <w:caps w:val="0"/>
          <w:color w:val="000000"/>
          <w:spacing w:val="0"/>
          <w:sz w:val="27"/>
          <w:szCs w:val="27"/>
        </w:rPr>
        <w:t>第三十条违反本条例第二十五条第一款规定,施工单位不履行保修义务或者拖延履行保修义务的,由市、县(市、区)人民政府住房和城乡建设主管部门责令改正,处十万元以上二十万元以下罚款,并对在保修期内因质量缺陷造成的损失承担赔偿责任。</w:t>
      </w:r>
    </w:p>
    <w:p>
      <w:pPr>
        <w:pStyle w:val="10"/>
        <w:keepNext w:val="0"/>
        <w:keepLines w:val="0"/>
        <w:widowControl/>
        <w:suppressLineNumbers w:val="0"/>
        <w:spacing w:before="90" w:beforeAutospacing="0" w:after="90" w:afterAutospacing="0" w:line="315" w:lineRule="atLeast"/>
        <w:ind w:left="0" w:firstLine="420"/>
        <w:jc w:val="left"/>
      </w:pPr>
      <w:r>
        <w:rPr>
          <w:rFonts w:hint="default" w:ascii="sans-serif" w:hAnsi="sans-serif" w:eastAsia="sans-serif" w:cs="sans-serif"/>
          <w:i w:val="0"/>
          <w:iCs w:val="0"/>
          <w:caps w:val="0"/>
          <w:color w:val="000000"/>
          <w:spacing w:val="0"/>
          <w:sz w:val="27"/>
          <w:szCs w:val="27"/>
        </w:rPr>
        <w:t>第三十一条各级人民政府及有关部门的工作人员在城市居住区配套设施的管理工作中滥用职权、玩忽职守、徇私舞弊的,依法给予处分。</w:t>
      </w:r>
    </w:p>
    <w:p>
      <w:pPr>
        <w:pStyle w:val="10"/>
        <w:keepNext w:val="0"/>
        <w:keepLines w:val="0"/>
        <w:widowControl/>
        <w:suppressLineNumbers w:val="0"/>
        <w:spacing w:before="90" w:beforeAutospacing="0" w:after="90" w:afterAutospacing="0" w:line="315" w:lineRule="atLeast"/>
        <w:ind w:left="0" w:firstLine="420"/>
        <w:jc w:val="left"/>
      </w:pPr>
      <w:r>
        <w:rPr>
          <w:rFonts w:hint="default" w:ascii="sans-serif" w:hAnsi="sans-serif" w:eastAsia="sans-serif" w:cs="sans-serif"/>
          <w:i w:val="0"/>
          <w:iCs w:val="0"/>
          <w:caps w:val="0"/>
          <w:color w:val="000000"/>
          <w:spacing w:val="0"/>
          <w:sz w:val="27"/>
          <w:szCs w:val="27"/>
        </w:rPr>
        <w:t>第三十二条违反本条例规定的其他行为,法律、法规已有处罚规定的,适用其规定。</w:t>
      </w:r>
    </w:p>
    <w:p>
      <w:pPr>
        <w:pStyle w:val="10"/>
        <w:keepNext w:val="0"/>
        <w:keepLines w:val="0"/>
        <w:widowControl/>
        <w:suppressLineNumbers w:val="0"/>
        <w:spacing w:before="90" w:beforeAutospacing="0" w:after="90" w:afterAutospacing="0" w:line="315" w:lineRule="atLeast"/>
        <w:ind w:left="0" w:firstLine="420"/>
        <w:jc w:val="left"/>
      </w:pPr>
      <w:r>
        <w:rPr>
          <w:rFonts w:hint="default" w:ascii="sans-serif" w:hAnsi="sans-serif" w:eastAsia="sans-serif" w:cs="sans-serif"/>
          <w:i w:val="0"/>
          <w:iCs w:val="0"/>
          <w:caps w:val="0"/>
          <w:color w:val="000000"/>
          <w:spacing w:val="0"/>
          <w:sz w:val="27"/>
          <w:szCs w:val="27"/>
        </w:rPr>
        <w:t>第六章 附则</w:t>
      </w:r>
    </w:p>
    <w:p>
      <w:pPr>
        <w:pStyle w:val="10"/>
        <w:keepNext w:val="0"/>
        <w:keepLines w:val="0"/>
        <w:widowControl/>
        <w:suppressLineNumbers w:val="0"/>
        <w:spacing w:before="90" w:beforeAutospacing="0" w:after="90" w:afterAutospacing="0" w:line="315" w:lineRule="atLeast"/>
        <w:ind w:left="0" w:firstLine="420"/>
        <w:jc w:val="left"/>
      </w:pPr>
      <w:r>
        <w:rPr>
          <w:rFonts w:hint="default" w:ascii="sans-serif" w:hAnsi="sans-serif" w:eastAsia="sans-serif" w:cs="sans-serif"/>
          <w:i w:val="0"/>
          <w:iCs w:val="0"/>
          <w:caps w:val="0"/>
          <w:color w:val="000000"/>
          <w:spacing w:val="0"/>
          <w:sz w:val="27"/>
          <w:szCs w:val="27"/>
        </w:rPr>
        <w:t>第三十三条本条例自2024年5月1日起施行。</w:t>
      </w:r>
    </w:p>
    <w:p>
      <w:pPr>
        <w:ind w:left="0" w:leftChars="0"/>
        <w:rPr>
          <w:rFonts w:hint="eastAsia" w:ascii="仿宋_GB2312" w:hAnsi="仿宋_GB2312" w:eastAsia="仿宋_GB2312" w:cs="仿宋_GB2312"/>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书宋简体">
    <w:altName w:val="宋体"/>
    <w:panose1 w:val="02010601030101010101"/>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4788" w:leftChars="2280" w:firstLine="6400" w:firstLineChars="2000"/>
      <w:jc w:val="right"/>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X</w:t>
    </w:r>
    <w:r>
      <w:rPr>
        <w:rFonts w:hint="eastAsia" w:ascii="宋体" w:hAnsi="宋体" w:eastAsia="宋体" w:cs="宋体"/>
        <w:b/>
        <w:bCs/>
        <w:color w:val="005192"/>
        <w:sz w:val="28"/>
        <w:szCs w:val="44"/>
        <w:lang w:val="en-US" w:eastAsia="zh-CN"/>
      </w:rPr>
      <w:t>九江市</w:t>
    </w:r>
    <w:r>
      <w:rPr>
        <w:rFonts w:hint="eastAsia" w:ascii="宋体" w:hAnsi="宋体" w:cs="宋体"/>
        <w:b/>
        <w:bCs/>
        <w:color w:val="005192"/>
        <w:sz w:val="28"/>
        <w:szCs w:val="44"/>
        <w:lang w:val="en-US" w:eastAsia="zh-CN"/>
      </w:rPr>
      <w:t>地方性法规</w:t>
    </w:r>
    <w:r>
      <w:rPr>
        <w:rFonts w:hint="eastAsia" w:ascii="宋体" w:hAnsi="宋体" w:eastAsia="宋体" w:cs="宋体"/>
        <w:b/>
        <w:bCs/>
        <w:color w:val="005192"/>
        <w:sz w:val="28"/>
        <w:szCs w:val="44"/>
        <w:lang w:val="en-US" w:eastAsia="zh-CN"/>
      </w:rPr>
      <w:t xml:space="preserve">   </w:t>
    </w:r>
  </w:p>
  <w:p>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九江市</w:t>
    </w:r>
    <w:r>
      <w:rPr>
        <w:rFonts w:hint="eastAsia" w:ascii="宋体" w:hAnsi="宋体" w:cs="宋体"/>
        <w:b/>
        <w:bCs/>
        <w:color w:val="005192"/>
        <w:sz w:val="32"/>
        <w:szCs w:val="32"/>
        <w:lang w:val="en-US" w:eastAsia="zh-CN"/>
      </w:rPr>
      <w:t>地方性法规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xNTk5YzQ0ODc0YjUzMDEyNWMwYzRkODk4ODNkMzYifQ=="/>
  </w:docVars>
  <w:rsids>
    <w:rsidRoot w:val="7C9011D9"/>
    <w:rsid w:val="019E71BD"/>
    <w:rsid w:val="06A67E67"/>
    <w:rsid w:val="080F63D8"/>
    <w:rsid w:val="09341458"/>
    <w:rsid w:val="152D2DCA"/>
    <w:rsid w:val="22440422"/>
    <w:rsid w:val="246B7AE7"/>
    <w:rsid w:val="2C3E1D20"/>
    <w:rsid w:val="31A15F24"/>
    <w:rsid w:val="31DF424A"/>
    <w:rsid w:val="38D011F2"/>
    <w:rsid w:val="39A232A0"/>
    <w:rsid w:val="3B5A6BBB"/>
    <w:rsid w:val="3EDA13A6"/>
    <w:rsid w:val="3FE93B9B"/>
    <w:rsid w:val="42F058B7"/>
    <w:rsid w:val="436109F6"/>
    <w:rsid w:val="441A38D4"/>
    <w:rsid w:val="44995AAD"/>
    <w:rsid w:val="4BC77339"/>
    <w:rsid w:val="4C9236C5"/>
    <w:rsid w:val="4E8B286D"/>
    <w:rsid w:val="52446A29"/>
    <w:rsid w:val="52F46F0B"/>
    <w:rsid w:val="54BE3820"/>
    <w:rsid w:val="55E064E0"/>
    <w:rsid w:val="608816D1"/>
    <w:rsid w:val="678317DD"/>
    <w:rsid w:val="6D0E3F22"/>
    <w:rsid w:val="6F2638FC"/>
    <w:rsid w:val="77476EE9"/>
    <w:rsid w:val="79DC45D7"/>
    <w:rsid w:val="7C9011D9"/>
    <w:rsid w:val="7DC651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2"/>
      <w:lang w:val="en-US" w:eastAsia="zh-CN" w:bidi="ar-SA"/>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6">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FootnoteText"/>
    <w:basedOn w:val="1"/>
    <w:next w:val="3"/>
    <w:qFormat/>
    <w:uiPriority w:val="0"/>
    <w:pPr>
      <w:snapToGrid w:val="0"/>
      <w:jc w:val="left"/>
      <w:textAlignment w:val="baseline"/>
    </w:pPr>
    <w:rPr>
      <w:sz w:val="18"/>
      <w:szCs w:val="18"/>
    </w:rPr>
  </w:style>
  <w:style w:type="paragraph" w:customStyle="1" w:styleId="3">
    <w:name w:val="BodyText1I2"/>
    <w:basedOn w:val="4"/>
    <w:qFormat/>
    <w:uiPriority w:val="0"/>
    <w:pPr>
      <w:ind w:firstLine="420" w:firstLineChars="200"/>
    </w:pPr>
  </w:style>
  <w:style w:type="paragraph" w:customStyle="1" w:styleId="4">
    <w:name w:val="BodyTextIndent"/>
    <w:basedOn w:val="1"/>
    <w:qFormat/>
    <w:uiPriority w:val="0"/>
    <w:pPr>
      <w:ind w:firstLine="630"/>
      <w:textAlignment w:val="baseline"/>
    </w:pPr>
    <w:rPr>
      <w:rFonts w:ascii="仿宋_GB2312" w:eastAsia="仿宋_GB2312"/>
      <w:sz w:val="32"/>
    </w:rPr>
  </w:style>
  <w:style w:type="paragraph" w:styleId="7">
    <w:name w:val="Body Text"/>
    <w:basedOn w:val="1"/>
    <w:qFormat/>
    <w:uiPriority w:val="0"/>
    <w:pPr>
      <w:spacing w:after="120" w:afterLines="0" w:afterAutospacing="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Autospacing="1" w:afterAutospacing="1"/>
      <w:jc w:val="left"/>
    </w:pPr>
    <w:rPr>
      <w:kern w:val="0"/>
      <w:sz w:val="24"/>
    </w:rPr>
  </w:style>
  <w:style w:type="character" w:styleId="13">
    <w:name w:val="Strong"/>
    <w:basedOn w:val="12"/>
    <w:qFormat/>
    <w:uiPriority w:val="0"/>
    <w:rPr>
      <w:b/>
    </w:rPr>
  </w:style>
  <w:style w:type="paragraph" w:customStyle="1" w:styleId="14">
    <w:name w:val="一级标题（二号小标宋）"/>
    <w:basedOn w:val="1"/>
    <w:qFormat/>
    <w:uiPriority w:val="0"/>
    <w:pPr>
      <w:jc w:val="center"/>
    </w:pPr>
    <w:rPr>
      <w:rFonts w:ascii="方正书宋简体" w:hAnsi="方正书宋简体" w:eastAsia="方正小标宋_GBK"/>
      <w:color w:val="000000"/>
      <w:sz w:val="42"/>
      <w:szCs w:val="42"/>
    </w:rPr>
  </w:style>
  <w:style w:type="paragraph" w:customStyle="1" w:styleId="15">
    <w:name w:val="15.5楷体（标题下楷体）"/>
    <w:basedOn w:val="1"/>
    <w:autoRedefine/>
    <w:qFormat/>
    <w:uiPriority w:val="0"/>
    <w:pPr>
      <w:spacing w:before="105"/>
      <w:ind w:firstLine="200" w:firstLineChars="200"/>
      <w:jc w:val="center"/>
    </w:pPr>
    <w:rPr>
      <w:rFonts w:ascii="方正书宋简体" w:hAnsi="方正书宋简体" w:eastAsia="楷体_GB2312"/>
      <w:color w:val="000000"/>
      <w:sz w:val="31"/>
      <w:szCs w:val="31"/>
    </w:rPr>
  </w:style>
  <w:style w:type="paragraph" w:customStyle="1" w:styleId="16">
    <w:name w:val="UserStyle_0"/>
    <w:basedOn w:val="1"/>
    <w:autoRedefine/>
    <w:qFormat/>
    <w:uiPriority w:val="0"/>
    <w:pPr>
      <w:widowControl/>
      <w:textAlignment w:val="baseline"/>
    </w:pPr>
    <w:rPr>
      <w:rFonts w:ascii="Times New Roman" w:hAnsi="Times New Roman"/>
      <w:kern w:val="0"/>
      <w:szCs w:val="21"/>
    </w:rPr>
  </w:style>
  <w:style w:type="paragraph" w:customStyle="1" w:styleId="17">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18">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5675</Words>
  <Characters>5706</Characters>
  <Lines>0</Lines>
  <Paragraphs>0</Paragraphs>
  <TotalTime>1</TotalTime>
  <ScaleCrop>false</ScaleCrop>
  <LinksUpToDate>false</LinksUpToDate>
  <CharactersWithSpaces>5811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yoyo</cp:lastModifiedBy>
  <cp:lastPrinted>2021-09-22T01:19:00Z</cp:lastPrinted>
  <dcterms:modified xsi:type="dcterms:W3CDTF">2024-04-08T02:06:38Z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5B214678C2B24622A609549E738685F1_13</vt:lpwstr>
  </property>
</Properties>
</file>