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8"/>
        <w:keepNext w:val="0"/>
        <w:keepLines w:val="0"/>
        <w:widowControl/>
        <w:suppressLineNumbers w:val="0"/>
        <w:spacing w:line="555" w:lineRule="atLeast"/>
        <w:jc w:val="center"/>
        <w:rPr>
          <w:rFonts w:hint="eastAsia" w:ascii="仿宋_GB2312" w:hAnsi="仿宋_GB2312" w:eastAsia="仿宋_GB2312" w:cs="仿宋_GB2312"/>
          <w:b/>
          <w:bCs/>
          <w:spacing w:val="0"/>
          <w:sz w:val="36"/>
          <w:szCs w:val="36"/>
          <w:shd w:val="clear" w:fill="FFFFFF"/>
        </w:rPr>
      </w:pPr>
      <w:bookmarkStart w:id="0" w:name="_GoBack"/>
      <w:r>
        <w:rPr>
          <w:rFonts w:hint="eastAsia" w:ascii="仿宋_GB2312" w:hAnsi="仿宋_GB2312" w:eastAsia="仿宋_GB2312" w:cs="仿宋_GB2312"/>
          <w:b/>
          <w:bCs/>
          <w:spacing w:val="0"/>
          <w:sz w:val="36"/>
          <w:szCs w:val="36"/>
          <w:shd w:val="clear" w:fill="FFFFFF"/>
        </w:rPr>
        <w:t>九江市历史文化名城保护办法</w:t>
      </w:r>
    </w:p>
    <w:bookmarkEnd w:id="0"/>
    <w:p>
      <w:pPr>
        <w:pStyle w:val="8"/>
        <w:keepNext w:val="0"/>
        <w:keepLines w:val="0"/>
        <w:widowControl/>
        <w:suppressLineNumbers w:val="0"/>
        <w:spacing w:line="555" w:lineRule="atLeast"/>
        <w:jc w:val="center"/>
        <w:rPr>
          <w:rFonts w:hint="eastAsia" w:ascii="仿宋_GB2312" w:hAnsi="仿宋_GB2312" w:eastAsia="仿宋_GB2312" w:cs="仿宋_GB2312"/>
          <w:spacing w:val="0"/>
          <w:sz w:val="30"/>
          <w:szCs w:val="30"/>
          <w:shd w:val="clear" w:fill="FFFFFF"/>
        </w:rPr>
      </w:pPr>
      <w:r>
        <w:rPr>
          <w:rFonts w:hint="eastAsia" w:ascii="仿宋_GB2312" w:hAnsi="仿宋_GB2312" w:eastAsia="仿宋_GB2312" w:cs="仿宋_GB2312"/>
          <w:spacing w:val="0"/>
          <w:sz w:val="30"/>
          <w:szCs w:val="30"/>
          <w:shd w:val="clear" w:fill="FFFFFF"/>
        </w:rPr>
        <w:t>2020年</w:t>
      </w:r>
      <w:r>
        <w:rPr>
          <w:rFonts w:hint="eastAsia" w:ascii="仿宋_GB2312" w:hAnsi="仿宋_GB2312" w:eastAsia="仿宋_GB2312" w:cs="仿宋_GB2312"/>
          <w:spacing w:val="0"/>
          <w:sz w:val="30"/>
          <w:szCs w:val="30"/>
          <w:shd w:val="clear" w:fill="FFFFFF"/>
          <w:lang w:val="en-US" w:eastAsia="zh-CN"/>
        </w:rPr>
        <w:t>1</w:t>
      </w:r>
      <w:r>
        <w:rPr>
          <w:rFonts w:hint="eastAsia" w:ascii="仿宋_GB2312" w:hAnsi="仿宋_GB2312" w:eastAsia="仿宋_GB2312" w:cs="仿宋_GB2312"/>
          <w:spacing w:val="0"/>
          <w:sz w:val="30"/>
          <w:szCs w:val="30"/>
          <w:shd w:val="clear" w:fill="FFFFFF"/>
        </w:rPr>
        <w:t>月</w:t>
      </w:r>
      <w:r>
        <w:rPr>
          <w:rFonts w:hint="eastAsia" w:ascii="仿宋_GB2312" w:hAnsi="仿宋_GB2312" w:eastAsia="仿宋_GB2312" w:cs="仿宋_GB2312"/>
          <w:spacing w:val="0"/>
          <w:sz w:val="30"/>
          <w:szCs w:val="30"/>
          <w:shd w:val="clear" w:fill="FFFFFF"/>
          <w:lang w:val="en-US" w:eastAsia="zh-CN"/>
        </w:rPr>
        <w:t>10</w:t>
      </w:r>
      <w:r>
        <w:rPr>
          <w:rFonts w:hint="eastAsia" w:ascii="仿宋_GB2312" w:hAnsi="仿宋_GB2312" w:eastAsia="仿宋_GB2312" w:cs="仿宋_GB2312"/>
          <w:spacing w:val="0"/>
          <w:sz w:val="30"/>
          <w:szCs w:val="30"/>
          <w:shd w:val="clear" w:fill="FFFFFF"/>
        </w:rPr>
        <w:t>日经市政府同意，现予发布实施。</w:t>
      </w:r>
    </w:p>
    <w:p>
      <w:pPr>
        <w:pStyle w:val="8"/>
        <w:keepNext w:val="0"/>
        <w:keepLines w:val="0"/>
        <w:widowControl/>
        <w:suppressLineNumbers w:val="0"/>
        <w:spacing w:before="585" w:beforeAutospacing="0" w:after="585" w:afterAutospacing="0" w:line="555" w:lineRule="atLeast"/>
        <w:jc w:val="center"/>
      </w:pPr>
      <w:r>
        <w:rPr>
          <w:rFonts w:ascii="黑体" w:hAnsi="宋体" w:eastAsia="黑体" w:cs="黑体"/>
          <w:spacing w:val="0"/>
          <w:sz w:val="30"/>
          <w:szCs w:val="30"/>
          <w:shd w:val="clear" w:fill="FFFFFF"/>
        </w:rPr>
        <w:t>第一章</w:t>
      </w:r>
      <w:r>
        <w:rPr>
          <w:rFonts w:hint="eastAsia" w:ascii="黑体" w:hAnsi="宋体" w:eastAsia="黑体" w:cs="黑体"/>
          <w:spacing w:val="0"/>
          <w:sz w:val="30"/>
          <w:szCs w:val="30"/>
          <w:shd w:val="clear" w:fill="FFFFFF"/>
        </w:rPr>
        <w:t>  总  则</w:t>
      </w:r>
    </w:p>
    <w:p>
      <w:pPr>
        <w:pStyle w:val="8"/>
        <w:keepNext w:val="0"/>
        <w:keepLines w:val="0"/>
        <w:widowControl/>
        <w:suppressLineNumbers w:val="0"/>
        <w:spacing w:line="555" w:lineRule="atLeast"/>
        <w:ind w:left="75" w:firstLine="660"/>
      </w:pPr>
      <w:r>
        <w:rPr>
          <w:rFonts w:ascii="楷体_GB2312" w:eastAsia="楷体_GB2312" w:cs="楷体_GB2312"/>
          <w:spacing w:val="0"/>
          <w:sz w:val="30"/>
          <w:szCs w:val="30"/>
          <w:shd w:val="clear" w:fill="FFFFFF"/>
        </w:rPr>
        <w:t>第一条</w:t>
      </w:r>
      <w:r>
        <w:rPr>
          <w:rStyle w:val="11"/>
          <w:rFonts w:hint="eastAsia" w:ascii="仿宋_GB2312" w:eastAsia="仿宋_GB2312" w:cs="仿宋_GB2312"/>
          <w:spacing w:val="0"/>
          <w:sz w:val="30"/>
          <w:szCs w:val="30"/>
          <w:shd w:val="clear" w:fill="FFFFFF"/>
        </w:rPr>
        <w:t>  </w:t>
      </w:r>
      <w:r>
        <w:rPr>
          <w:rFonts w:hint="eastAsia" w:ascii="仿宋_GB2312" w:eastAsia="仿宋_GB2312" w:cs="仿宋_GB2312"/>
          <w:spacing w:val="0"/>
          <w:sz w:val="30"/>
          <w:szCs w:val="30"/>
          <w:shd w:val="clear" w:fill="FFFFFF"/>
        </w:rPr>
        <w:t>为加强历史文化名城的保护与管理，继承和弘扬优秀历史文化遗产，根据《中华人民共和国城乡规划法》《中华人民共和国文物保护法》《中华人民共和国消防法》《历史文化名城名镇名村保护条例》《九江市历史建筑保护条例》等法律法规的规定，结合本市实际，制定本办法。</w:t>
      </w:r>
    </w:p>
    <w:p>
      <w:pPr>
        <w:pStyle w:val="8"/>
        <w:keepNext w:val="0"/>
        <w:keepLines w:val="0"/>
        <w:widowControl/>
        <w:suppressLineNumbers w:val="0"/>
        <w:spacing w:line="555" w:lineRule="atLeast"/>
        <w:ind w:left="75" w:firstLine="660"/>
      </w:pPr>
      <w:r>
        <w:rPr>
          <w:rFonts w:hint="default" w:ascii="楷体_GB2312" w:eastAsia="楷体_GB2312" w:cs="楷体_GB2312"/>
          <w:spacing w:val="0"/>
          <w:sz w:val="30"/>
          <w:szCs w:val="30"/>
          <w:shd w:val="clear" w:fill="FFFFFF"/>
        </w:rPr>
        <w:t>第二条</w:t>
      </w:r>
      <w:r>
        <w:rPr>
          <w:rStyle w:val="11"/>
          <w:rFonts w:hint="eastAsia" w:ascii="仿宋_GB2312" w:eastAsia="仿宋_GB2312" w:cs="仿宋_GB2312"/>
          <w:spacing w:val="0"/>
          <w:sz w:val="30"/>
          <w:szCs w:val="30"/>
          <w:shd w:val="clear" w:fill="FFFFFF"/>
        </w:rPr>
        <w:t>  </w:t>
      </w:r>
      <w:r>
        <w:rPr>
          <w:rFonts w:hint="eastAsia" w:ascii="仿宋_GB2312" w:eastAsia="仿宋_GB2312" w:cs="仿宋_GB2312"/>
          <w:spacing w:val="0"/>
          <w:sz w:val="30"/>
          <w:szCs w:val="30"/>
          <w:shd w:val="clear" w:fill="FFFFFF"/>
        </w:rPr>
        <w:t>本办法适用于本市行政区域内的历史城区、历史文化街区、文物、历史建筑、古树名木、传统地名、非物质文化遗产的保护、管理和利用。</w:t>
      </w:r>
    </w:p>
    <w:p>
      <w:pPr>
        <w:pStyle w:val="8"/>
        <w:keepNext w:val="0"/>
        <w:keepLines w:val="0"/>
        <w:widowControl/>
        <w:suppressLineNumbers w:val="0"/>
        <w:spacing w:line="555" w:lineRule="atLeast"/>
        <w:ind w:left="75" w:firstLine="660"/>
      </w:pPr>
      <w:r>
        <w:rPr>
          <w:rFonts w:hint="default" w:ascii="楷体_GB2312" w:eastAsia="楷体_GB2312" w:cs="楷体_GB2312"/>
          <w:spacing w:val="0"/>
          <w:sz w:val="30"/>
          <w:szCs w:val="30"/>
          <w:shd w:val="clear" w:fill="FFFFFF"/>
        </w:rPr>
        <w:t>第三条</w:t>
      </w:r>
      <w:r>
        <w:rPr>
          <w:rStyle w:val="11"/>
          <w:rFonts w:hint="eastAsia" w:ascii="仿宋_GB2312" w:eastAsia="仿宋_GB2312" w:cs="仿宋_GB2312"/>
          <w:spacing w:val="0"/>
          <w:sz w:val="30"/>
          <w:szCs w:val="30"/>
          <w:shd w:val="clear" w:fill="FFFFFF"/>
        </w:rPr>
        <w:t>  </w:t>
      </w:r>
      <w:r>
        <w:rPr>
          <w:rFonts w:hint="eastAsia" w:ascii="仿宋_GB2312" w:eastAsia="仿宋_GB2312" w:cs="仿宋_GB2312"/>
          <w:spacing w:val="0"/>
          <w:sz w:val="30"/>
          <w:szCs w:val="30"/>
          <w:shd w:val="clear" w:fill="FFFFFF"/>
        </w:rPr>
        <w:t>历史文化名城保护应当遵循科学规划、严格保护、合理利用、依法管理的原则，维护历史文化遗产的真实性、完整性，正确处理好历史文化遗产保护与城市规划建设管理、经济社会发展的关系。</w:t>
      </w:r>
    </w:p>
    <w:p>
      <w:pPr>
        <w:pStyle w:val="8"/>
        <w:keepNext w:val="0"/>
        <w:keepLines w:val="0"/>
        <w:widowControl/>
        <w:suppressLineNumbers w:val="0"/>
        <w:spacing w:line="555" w:lineRule="atLeast"/>
        <w:ind w:left="75" w:firstLine="660"/>
      </w:pPr>
      <w:r>
        <w:rPr>
          <w:rFonts w:hint="default" w:ascii="楷体_GB2312" w:eastAsia="楷体_GB2312" w:cs="楷体_GB2312"/>
          <w:spacing w:val="0"/>
          <w:sz w:val="30"/>
          <w:szCs w:val="30"/>
          <w:shd w:val="clear" w:fill="FFFFFF"/>
        </w:rPr>
        <w:t>第四条</w:t>
      </w:r>
      <w:r>
        <w:rPr>
          <w:rStyle w:val="11"/>
          <w:rFonts w:hint="eastAsia" w:ascii="仿宋_GB2312" w:eastAsia="仿宋_GB2312" w:cs="仿宋_GB2312"/>
          <w:spacing w:val="0"/>
          <w:sz w:val="30"/>
          <w:szCs w:val="30"/>
          <w:shd w:val="clear" w:fill="FFFFFF"/>
        </w:rPr>
        <w:t>  </w:t>
      </w:r>
      <w:r>
        <w:rPr>
          <w:rFonts w:hint="eastAsia" w:ascii="仿宋_GB2312" w:eastAsia="仿宋_GB2312" w:cs="仿宋_GB2312"/>
          <w:spacing w:val="0"/>
          <w:sz w:val="30"/>
          <w:szCs w:val="30"/>
          <w:shd w:val="clear" w:fill="FFFFFF"/>
        </w:rPr>
        <w:t>市人民政府统一领导和协调历史文化名城保护工作。</w:t>
      </w:r>
    </w:p>
    <w:p>
      <w:pPr>
        <w:pStyle w:val="8"/>
        <w:keepNext w:val="0"/>
        <w:keepLines w:val="0"/>
        <w:widowControl/>
        <w:suppressLineNumbers w:val="0"/>
        <w:spacing w:line="555" w:lineRule="atLeast"/>
        <w:ind w:left="75" w:firstLine="660"/>
      </w:pPr>
      <w:r>
        <w:rPr>
          <w:rFonts w:hint="eastAsia" w:ascii="仿宋_GB2312" w:eastAsia="仿宋_GB2312" w:cs="仿宋_GB2312"/>
          <w:spacing w:val="0"/>
          <w:sz w:val="30"/>
          <w:szCs w:val="30"/>
          <w:shd w:val="clear" w:fill="FFFFFF"/>
        </w:rPr>
        <w:t>县（市、区）人民政府负责本行政区域内历史文化名城的保护和监督管理工作。</w:t>
      </w:r>
    </w:p>
    <w:p>
      <w:pPr>
        <w:pStyle w:val="8"/>
        <w:keepNext w:val="0"/>
        <w:keepLines w:val="0"/>
        <w:widowControl/>
        <w:suppressLineNumbers w:val="0"/>
        <w:spacing w:line="555" w:lineRule="atLeast"/>
        <w:ind w:left="75" w:firstLine="660"/>
      </w:pPr>
      <w:r>
        <w:rPr>
          <w:rFonts w:hint="default" w:ascii="楷体_GB2312" w:eastAsia="楷体_GB2312" w:cs="楷体_GB2312"/>
          <w:spacing w:val="0"/>
          <w:sz w:val="30"/>
          <w:szCs w:val="30"/>
          <w:shd w:val="clear" w:fill="FFFFFF"/>
        </w:rPr>
        <w:t>第五条</w:t>
      </w:r>
      <w:r>
        <w:rPr>
          <w:rStyle w:val="11"/>
          <w:rFonts w:hint="eastAsia" w:ascii="仿宋_GB2312" w:eastAsia="仿宋_GB2312" w:cs="仿宋_GB2312"/>
          <w:spacing w:val="0"/>
          <w:sz w:val="30"/>
          <w:szCs w:val="30"/>
          <w:shd w:val="clear" w:fill="FFFFFF"/>
        </w:rPr>
        <w:t>  </w:t>
      </w:r>
      <w:r>
        <w:rPr>
          <w:rFonts w:hint="eastAsia" w:ascii="仿宋_GB2312" w:eastAsia="仿宋_GB2312" w:cs="仿宋_GB2312"/>
          <w:spacing w:val="0"/>
          <w:sz w:val="30"/>
          <w:szCs w:val="30"/>
          <w:shd w:val="clear" w:fill="FFFFFF"/>
        </w:rPr>
        <w:t>市住房和城乡建设部门负责组织协调历史文化名城的保护管理，历史建筑的普查、申报以及指导历史建筑的维护修缮等工作。</w:t>
      </w:r>
    </w:p>
    <w:p>
      <w:pPr>
        <w:pStyle w:val="8"/>
        <w:keepNext w:val="0"/>
        <w:keepLines w:val="0"/>
        <w:widowControl/>
        <w:suppressLineNumbers w:val="0"/>
        <w:spacing w:line="555" w:lineRule="atLeast"/>
        <w:ind w:left="75" w:firstLine="660"/>
      </w:pPr>
      <w:r>
        <w:rPr>
          <w:rFonts w:hint="eastAsia" w:ascii="仿宋_GB2312" w:eastAsia="仿宋_GB2312" w:cs="仿宋_GB2312"/>
          <w:spacing w:val="0"/>
          <w:sz w:val="30"/>
          <w:szCs w:val="30"/>
          <w:shd w:val="clear" w:fill="FFFFFF"/>
        </w:rPr>
        <w:t>市自然资源部门负责对在历史文化名城保护范围内进行的建设活动依法办理规划手续，将历史文化名城保护纳入国土空间规划中，配合住房和城乡建设部门开展历史文化名城、历史文化街区等保护规划的编制。</w:t>
      </w:r>
    </w:p>
    <w:p>
      <w:pPr>
        <w:pStyle w:val="8"/>
        <w:keepNext w:val="0"/>
        <w:keepLines w:val="0"/>
        <w:widowControl/>
        <w:suppressLineNumbers w:val="0"/>
        <w:spacing w:line="555" w:lineRule="atLeast"/>
        <w:ind w:left="75" w:firstLine="660"/>
      </w:pPr>
      <w:r>
        <w:rPr>
          <w:rFonts w:hint="eastAsia" w:ascii="仿宋_GB2312" w:eastAsia="仿宋_GB2312" w:cs="仿宋_GB2312"/>
          <w:spacing w:val="0"/>
          <w:sz w:val="30"/>
          <w:szCs w:val="30"/>
          <w:shd w:val="clear" w:fill="FFFFFF"/>
        </w:rPr>
        <w:t>市文广新旅部门负责文物、非物质文化遗产的保护管理及法律法规规定的有关历史文化名城的管理工作。</w:t>
      </w:r>
    </w:p>
    <w:p>
      <w:pPr>
        <w:pStyle w:val="8"/>
        <w:keepNext w:val="0"/>
        <w:keepLines w:val="0"/>
        <w:widowControl/>
        <w:suppressLineNumbers w:val="0"/>
        <w:spacing w:line="555" w:lineRule="atLeast"/>
        <w:ind w:left="75" w:firstLine="660"/>
      </w:pPr>
      <w:r>
        <w:rPr>
          <w:rFonts w:hint="eastAsia" w:ascii="仿宋_GB2312" w:eastAsia="仿宋_GB2312" w:cs="仿宋_GB2312"/>
          <w:spacing w:val="0"/>
          <w:sz w:val="30"/>
          <w:szCs w:val="30"/>
          <w:shd w:val="clear" w:fill="FFFFFF"/>
        </w:rPr>
        <w:t>市发展改革、财政、城市管理、民族宗教、民政、公安、应急管理（消防救援）、林业、教育、生态环境、交通运输、国有资产管理、史志等部门，依据各自职责，共同做好历史文化名城保护的相关工作。</w:t>
      </w:r>
    </w:p>
    <w:p>
      <w:pPr>
        <w:pStyle w:val="8"/>
        <w:keepNext w:val="0"/>
        <w:keepLines w:val="0"/>
        <w:widowControl/>
        <w:suppressLineNumbers w:val="0"/>
        <w:spacing w:line="555" w:lineRule="atLeast"/>
        <w:ind w:left="75" w:firstLine="660"/>
      </w:pPr>
      <w:r>
        <w:rPr>
          <w:rFonts w:hint="default" w:ascii="楷体_GB2312" w:eastAsia="楷体_GB2312" w:cs="楷体_GB2312"/>
          <w:spacing w:val="0"/>
          <w:sz w:val="30"/>
          <w:szCs w:val="30"/>
          <w:shd w:val="clear" w:fill="FFFFFF"/>
        </w:rPr>
        <w:t>第六条</w:t>
      </w:r>
      <w:r>
        <w:rPr>
          <w:rFonts w:hint="eastAsia" w:ascii="仿宋_GB2312" w:eastAsia="仿宋_GB2312" w:cs="仿宋_GB2312"/>
          <w:spacing w:val="0"/>
          <w:sz w:val="30"/>
          <w:szCs w:val="30"/>
          <w:shd w:val="clear" w:fill="FFFFFF"/>
        </w:rPr>
        <w:t>  市人民政府设立历史文化名城保护委员会（以下简称委员会），负责研究历史文化名城保护中的重大事项，监督检查保护规划实施情况，对城区保护状况进行评估。</w:t>
      </w:r>
    </w:p>
    <w:p>
      <w:pPr>
        <w:pStyle w:val="8"/>
        <w:keepNext w:val="0"/>
        <w:keepLines w:val="0"/>
        <w:widowControl/>
        <w:suppressLineNumbers w:val="0"/>
        <w:spacing w:line="555" w:lineRule="atLeast"/>
        <w:ind w:left="75" w:firstLine="660"/>
      </w:pPr>
      <w:r>
        <w:rPr>
          <w:rFonts w:hint="default" w:ascii="楷体_GB2312" w:eastAsia="楷体_GB2312" w:cs="楷体_GB2312"/>
          <w:spacing w:val="0"/>
          <w:sz w:val="30"/>
          <w:szCs w:val="30"/>
          <w:shd w:val="clear" w:fill="FFFFFF"/>
        </w:rPr>
        <w:t>第七条</w:t>
      </w:r>
      <w:r>
        <w:rPr>
          <w:rStyle w:val="11"/>
          <w:rFonts w:hint="eastAsia" w:ascii="仿宋_GB2312" w:eastAsia="仿宋_GB2312" w:cs="仿宋_GB2312"/>
          <w:spacing w:val="0"/>
          <w:sz w:val="30"/>
          <w:szCs w:val="30"/>
          <w:shd w:val="clear" w:fill="FFFFFF"/>
        </w:rPr>
        <w:t>  </w:t>
      </w:r>
      <w:r>
        <w:rPr>
          <w:rFonts w:hint="eastAsia" w:ascii="仿宋_GB2312" w:eastAsia="仿宋_GB2312" w:cs="仿宋_GB2312"/>
          <w:spacing w:val="0"/>
          <w:sz w:val="30"/>
          <w:szCs w:val="30"/>
          <w:shd w:val="clear" w:fill="FFFFFF"/>
        </w:rPr>
        <w:t>市、县（市、区）人民政府应当将历史文化名城保护和监督管理工作纳入国民经济和社会发展规划，所需保护经费列入本级财政预算。</w:t>
      </w:r>
    </w:p>
    <w:p>
      <w:pPr>
        <w:pStyle w:val="8"/>
        <w:keepNext w:val="0"/>
        <w:keepLines w:val="0"/>
        <w:widowControl/>
        <w:suppressLineNumbers w:val="0"/>
        <w:spacing w:line="555" w:lineRule="atLeast"/>
        <w:ind w:left="75" w:firstLine="660"/>
      </w:pPr>
      <w:r>
        <w:rPr>
          <w:rFonts w:hint="default" w:ascii="楷体_GB2312" w:eastAsia="楷体_GB2312" w:cs="楷体_GB2312"/>
          <w:spacing w:val="0"/>
          <w:sz w:val="30"/>
          <w:szCs w:val="30"/>
          <w:shd w:val="clear" w:fill="FFFFFF"/>
        </w:rPr>
        <w:t>第八条</w:t>
      </w:r>
      <w:r>
        <w:rPr>
          <w:rStyle w:val="11"/>
          <w:rFonts w:hint="eastAsia" w:ascii="仿宋_GB2312" w:eastAsia="仿宋_GB2312" w:cs="仿宋_GB2312"/>
          <w:spacing w:val="0"/>
          <w:sz w:val="30"/>
          <w:szCs w:val="30"/>
          <w:shd w:val="clear" w:fill="FFFFFF"/>
        </w:rPr>
        <w:t>  </w:t>
      </w:r>
      <w:r>
        <w:rPr>
          <w:rFonts w:hint="eastAsia" w:ascii="仿宋_GB2312" w:eastAsia="仿宋_GB2312" w:cs="仿宋_GB2312"/>
          <w:spacing w:val="0"/>
          <w:sz w:val="30"/>
          <w:szCs w:val="30"/>
          <w:shd w:val="clear" w:fill="FFFFFF"/>
        </w:rPr>
        <w:t>任何单位和个人都有保护历史文化名城的义务，有权对破坏、损害历史文化名城保护的行为进行劝阻和举报。</w:t>
      </w:r>
    </w:p>
    <w:p>
      <w:pPr>
        <w:pStyle w:val="8"/>
        <w:keepNext w:val="0"/>
        <w:keepLines w:val="0"/>
        <w:widowControl/>
        <w:suppressLineNumbers w:val="0"/>
        <w:spacing w:line="555" w:lineRule="atLeast"/>
        <w:ind w:left="75" w:firstLine="660"/>
      </w:pPr>
      <w:r>
        <w:rPr>
          <w:rFonts w:hint="eastAsia" w:ascii="仿宋_GB2312" w:eastAsia="仿宋_GB2312" w:cs="仿宋_GB2312"/>
          <w:spacing w:val="0"/>
          <w:sz w:val="30"/>
          <w:szCs w:val="30"/>
          <w:shd w:val="clear" w:fill="FFFFFF"/>
        </w:rPr>
        <w:t>鼓励单位、社会团体和个人以捐赠、资助、提供技术服务和志愿服务等多种方式，参与历史文化名城的保护。</w:t>
      </w:r>
    </w:p>
    <w:p>
      <w:pPr>
        <w:pStyle w:val="8"/>
        <w:keepNext w:val="0"/>
        <w:keepLines w:val="0"/>
        <w:widowControl/>
        <w:suppressLineNumbers w:val="0"/>
        <w:spacing w:line="555" w:lineRule="atLeast"/>
        <w:ind w:left="75" w:firstLine="660"/>
      </w:pPr>
      <w:r>
        <w:rPr>
          <w:rFonts w:hint="default" w:ascii="楷体_GB2312" w:eastAsia="楷体_GB2312" w:cs="楷体_GB2312"/>
          <w:spacing w:val="0"/>
          <w:sz w:val="30"/>
          <w:szCs w:val="30"/>
          <w:shd w:val="clear" w:fill="FFFFFF"/>
        </w:rPr>
        <w:t>第九条</w:t>
      </w:r>
      <w:r>
        <w:rPr>
          <w:rStyle w:val="11"/>
          <w:rFonts w:hint="eastAsia" w:ascii="仿宋_GB2312" w:eastAsia="仿宋_GB2312" w:cs="仿宋_GB2312"/>
          <w:spacing w:val="0"/>
          <w:sz w:val="30"/>
          <w:szCs w:val="30"/>
          <w:shd w:val="clear" w:fill="FFFFFF"/>
        </w:rPr>
        <w:t>  </w:t>
      </w:r>
      <w:r>
        <w:rPr>
          <w:rFonts w:hint="eastAsia" w:ascii="仿宋_GB2312" w:eastAsia="仿宋_GB2312" w:cs="仿宋_GB2312"/>
          <w:spacing w:val="0"/>
          <w:sz w:val="30"/>
          <w:szCs w:val="30"/>
          <w:shd w:val="clear" w:fill="FFFFFF"/>
        </w:rPr>
        <w:t>市、县（市、区）人民政府及相关部门应当组织开展历史文化名城保护宣传教育活动，普及保护知识，增强全社会保护意识。</w:t>
      </w:r>
    </w:p>
    <w:p>
      <w:pPr>
        <w:pStyle w:val="8"/>
        <w:keepNext w:val="0"/>
        <w:keepLines w:val="0"/>
        <w:widowControl/>
        <w:suppressLineNumbers w:val="0"/>
        <w:spacing w:before="585" w:beforeAutospacing="0" w:after="585" w:afterAutospacing="0" w:line="555" w:lineRule="atLeast"/>
        <w:jc w:val="center"/>
      </w:pPr>
      <w:r>
        <w:rPr>
          <w:rFonts w:hint="eastAsia" w:ascii="黑体" w:hAnsi="宋体" w:eastAsia="黑体" w:cs="黑体"/>
          <w:spacing w:val="0"/>
          <w:sz w:val="30"/>
          <w:szCs w:val="30"/>
          <w:shd w:val="clear" w:fill="FFFFFF"/>
        </w:rPr>
        <w:t>第二章  保护规划</w:t>
      </w:r>
    </w:p>
    <w:p>
      <w:pPr>
        <w:pStyle w:val="8"/>
        <w:keepNext w:val="0"/>
        <w:keepLines w:val="0"/>
        <w:widowControl/>
        <w:suppressLineNumbers w:val="0"/>
        <w:spacing w:line="555" w:lineRule="atLeast"/>
        <w:ind w:left="0" w:firstLine="660"/>
      </w:pPr>
      <w:r>
        <w:rPr>
          <w:rFonts w:hint="default" w:ascii="楷体_GB2312" w:eastAsia="楷体_GB2312" w:cs="楷体_GB2312"/>
          <w:spacing w:val="0"/>
          <w:sz w:val="30"/>
          <w:szCs w:val="30"/>
          <w:shd w:val="clear" w:fill="FFFFFF"/>
        </w:rPr>
        <w:t>第十条</w:t>
      </w:r>
      <w:r>
        <w:rPr>
          <w:rStyle w:val="11"/>
          <w:rFonts w:hint="eastAsia" w:ascii="仿宋_GB2312" w:eastAsia="仿宋_GB2312" w:cs="仿宋_GB2312"/>
          <w:spacing w:val="0"/>
          <w:sz w:val="30"/>
          <w:szCs w:val="30"/>
          <w:shd w:val="clear" w:fill="FFFFFF"/>
        </w:rPr>
        <w:t>  </w:t>
      </w:r>
      <w:r>
        <w:rPr>
          <w:rFonts w:hint="eastAsia" w:ascii="仿宋_GB2312" w:eastAsia="仿宋_GB2312" w:cs="仿宋_GB2312"/>
          <w:spacing w:val="0"/>
          <w:sz w:val="30"/>
          <w:szCs w:val="30"/>
          <w:shd w:val="clear" w:fill="FFFFFF"/>
        </w:rPr>
        <w:t>历史文化名城保护规划的编制应当注重整体保护，保持和延续其传统格局、历史风貌和空间尺度；保护与之相联系的建（构）筑物、街巷、山河水系、绿地等物质形态和环境要素，充分展示历史文化传统。交通、市政公用、绿化、消防、人民防空等其他专业规划应当与保护规划相协调。</w:t>
      </w:r>
    </w:p>
    <w:p>
      <w:pPr>
        <w:pStyle w:val="8"/>
        <w:keepNext w:val="0"/>
        <w:keepLines w:val="0"/>
        <w:widowControl/>
        <w:suppressLineNumbers w:val="0"/>
        <w:spacing w:line="555" w:lineRule="atLeast"/>
        <w:ind w:left="75" w:firstLine="660"/>
      </w:pPr>
      <w:r>
        <w:rPr>
          <w:rFonts w:hint="default" w:ascii="楷体_GB2312" w:eastAsia="楷体_GB2312" w:cs="楷体_GB2312"/>
          <w:spacing w:val="0"/>
          <w:sz w:val="30"/>
          <w:szCs w:val="30"/>
          <w:shd w:val="clear" w:fill="FFFFFF"/>
        </w:rPr>
        <w:t>第十一条</w:t>
      </w:r>
      <w:r>
        <w:rPr>
          <w:rStyle w:val="11"/>
          <w:rFonts w:hint="eastAsia" w:ascii="仿宋_GB2312" w:eastAsia="仿宋_GB2312" w:cs="仿宋_GB2312"/>
          <w:spacing w:val="0"/>
          <w:sz w:val="30"/>
          <w:szCs w:val="30"/>
          <w:shd w:val="clear" w:fill="FFFFFF"/>
        </w:rPr>
        <w:t>  </w:t>
      </w:r>
      <w:r>
        <w:rPr>
          <w:rFonts w:hint="eastAsia" w:ascii="仿宋_GB2312" w:eastAsia="仿宋_GB2312" w:cs="仿宋_GB2312"/>
          <w:spacing w:val="0"/>
          <w:sz w:val="30"/>
          <w:szCs w:val="30"/>
          <w:shd w:val="clear" w:fill="FFFFFF"/>
        </w:rPr>
        <w:t>九江市历史城区北至长江江边，南至长虹大道，西至长江大道，东至环城北路和长虹北支路，面积约661.97公顷。范围包括九江老城、租界区、甘棠湖与南湖、南浔铁路九江老火车站和一二三马路区域。</w:t>
      </w:r>
    </w:p>
    <w:p>
      <w:pPr>
        <w:pStyle w:val="8"/>
        <w:keepNext w:val="0"/>
        <w:keepLines w:val="0"/>
        <w:widowControl/>
        <w:suppressLineNumbers w:val="0"/>
        <w:spacing w:line="555" w:lineRule="atLeast"/>
        <w:ind w:left="75" w:firstLine="660"/>
      </w:pPr>
      <w:r>
        <w:rPr>
          <w:rFonts w:hint="default" w:ascii="楷体_GB2312" w:eastAsia="楷体_GB2312" w:cs="楷体_GB2312"/>
          <w:spacing w:val="0"/>
          <w:sz w:val="30"/>
          <w:szCs w:val="30"/>
          <w:shd w:val="clear" w:fill="FFFFFF"/>
        </w:rPr>
        <w:t>第十二条</w:t>
      </w:r>
      <w:r>
        <w:rPr>
          <w:rStyle w:val="11"/>
          <w:rFonts w:hint="eastAsia" w:ascii="仿宋_GB2312" w:eastAsia="仿宋_GB2312" w:cs="仿宋_GB2312"/>
          <w:spacing w:val="0"/>
          <w:sz w:val="30"/>
          <w:szCs w:val="30"/>
          <w:shd w:val="clear" w:fill="FFFFFF"/>
        </w:rPr>
        <w:t>  </w:t>
      </w:r>
      <w:r>
        <w:rPr>
          <w:rFonts w:hint="eastAsia" w:ascii="仿宋_GB2312" w:eastAsia="仿宋_GB2312" w:cs="仿宋_GB2312"/>
          <w:spacing w:val="0"/>
          <w:sz w:val="30"/>
          <w:szCs w:val="30"/>
          <w:shd w:val="clear" w:fill="FFFFFF"/>
        </w:rPr>
        <w:t>历史文化街区保护规划的编制除了应当符合国家和省有关规定之外，还应当明确历史文化街区的功能定位、合理利用发展指引。</w:t>
      </w:r>
    </w:p>
    <w:p>
      <w:pPr>
        <w:pStyle w:val="8"/>
        <w:keepNext w:val="0"/>
        <w:keepLines w:val="0"/>
        <w:widowControl/>
        <w:suppressLineNumbers w:val="0"/>
        <w:spacing w:line="555" w:lineRule="atLeast"/>
        <w:ind w:left="75" w:firstLine="660"/>
      </w:pPr>
      <w:r>
        <w:rPr>
          <w:rFonts w:hint="eastAsia" w:ascii="仿宋_GB2312" w:eastAsia="仿宋_GB2312" w:cs="仿宋_GB2312"/>
          <w:spacing w:val="0"/>
          <w:sz w:val="30"/>
          <w:szCs w:val="30"/>
          <w:shd w:val="clear" w:fill="FFFFFF"/>
        </w:rPr>
        <w:t>历史文化街区核心保护范围内要严格保护空间格局和传统风貌，保护构成历史风貌的环境要素以及具有地方特色的人文景观。建设控制地带范围内新建、改建建筑的高度、体量、色彩要与历史风貌相协调。</w:t>
      </w:r>
    </w:p>
    <w:p>
      <w:pPr>
        <w:pStyle w:val="8"/>
        <w:keepNext w:val="0"/>
        <w:keepLines w:val="0"/>
        <w:widowControl/>
        <w:suppressLineNumbers w:val="0"/>
        <w:spacing w:line="555" w:lineRule="atLeast"/>
        <w:ind w:left="0" w:firstLine="660"/>
      </w:pPr>
      <w:r>
        <w:rPr>
          <w:rFonts w:hint="default" w:ascii="楷体_GB2312" w:eastAsia="楷体_GB2312" w:cs="楷体_GB2312"/>
          <w:spacing w:val="0"/>
          <w:sz w:val="30"/>
          <w:szCs w:val="30"/>
          <w:shd w:val="clear" w:fill="FFFFFF"/>
        </w:rPr>
        <w:t>第十三条</w:t>
      </w:r>
      <w:r>
        <w:rPr>
          <w:rStyle w:val="11"/>
          <w:rFonts w:hint="eastAsia" w:ascii="仿宋_GB2312" w:eastAsia="仿宋_GB2312" w:cs="仿宋_GB2312"/>
          <w:spacing w:val="0"/>
          <w:sz w:val="30"/>
          <w:szCs w:val="30"/>
          <w:shd w:val="clear" w:fill="FFFFFF"/>
        </w:rPr>
        <w:t>  </w:t>
      </w:r>
      <w:r>
        <w:rPr>
          <w:rFonts w:hint="eastAsia" w:ascii="仿宋_GB2312" w:eastAsia="仿宋_GB2312" w:cs="仿宋_GB2312"/>
          <w:spacing w:val="0"/>
          <w:sz w:val="30"/>
          <w:szCs w:val="30"/>
          <w:shd w:val="clear" w:fill="FFFFFF"/>
        </w:rPr>
        <w:t>经依法批准的保护规划公布后，任何单位和个人不得擅自修改；确因公共利益需要修改的，须由保护规划的组织编制机关向原审批机关提出专题报告，经同意后，方可编制修改方案；修改后的保护规划，按原审批程序报送审批后实施。</w:t>
      </w:r>
    </w:p>
    <w:p>
      <w:pPr>
        <w:pStyle w:val="8"/>
        <w:keepNext w:val="0"/>
        <w:keepLines w:val="0"/>
        <w:widowControl/>
        <w:suppressLineNumbers w:val="0"/>
        <w:spacing w:before="585" w:beforeAutospacing="0" w:after="585" w:afterAutospacing="0" w:line="555" w:lineRule="atLeast"/>
        <w:jc w:val="center"/>
      </w:pPr>
      <w:r>
        <w:rPr>
          <w:rFonts w:hint="eastAsia" w:ascii="黑体" w:hAnsi="宋体" w:eastAsia="黑体" w:cs="黑体"/>
          <w:spacing w:val="0"/>
          <w:sz w:val="30"/>
          <w:szCs w:val="30"/>
          <w:shd w:val="clear" w:fill="FFFFFF"/>
        </w:rPr>
        <w:t>第三章 保护措施</w:t>
      </w:r>
    </w:p>
    <w:p>
      <w:pPr>
        <w:pStyle w:val="8"/>
        <w:keepNext w:val="0"/>
        <w:keepLines w:val="0"/>
        <w:widowControl/>
        <w:suppressLineNumbers w:val="0"/>
        <w:spacing w:line="555" w:lineRule="atLeast"/>
        <w:ind w:left="75" w:firstLine="660"/>
      </w:pPr>
      <w:r>
        <w:rPr>
          <w:rFonts w:hint="default" w:ascii="楷体_GB2312" w:eastAsia="楷体_GB2312" w:cs="楷体_GB2312"/>
          <w:spacing w:val="0"/>
          <w:sz w:val="30"/>
          <w:szCs w:val="30"/>
          <w:shd w:val="clear" w:fill="FFFFFF"/>
        </w:rPr>
        <w:t>第十四条</w:t>
      </w:r>
      <w:r>
        <w:rPr>
          <w:rStyle w:val="11"/>
          <w:rFonts w:hint="eastAsia" w:ascii="仿宋_GB2312" w:eastAsia="仿宋_GB2312" w:cs="仿宋_GB2312"/>
          <w:spacing w:val="0"/>
          <w:sz w:val="30"/>
          <w:szCs w:val="30"/>
          <w:shd w:val="clear" w:fill="FFFFFF"/>
        </w:rPr>
        <w:t>  </w:t>
      </w:r>
      <w:r>
        <w:rPr>
          <w:rFonts w:hint="eastAsia" w:ascii="仿宋_GB2312" w:eastAsia="仿宋_GB2312" w:cs="仿宋_GB2312"/>
          <w:spacing w:val="0"/>
          <w:sz w:val="30"/>
          <w:szCs w:val="30"/>
          <w:shd w:val="clear" w:fill="FFFFFF"/>
        </w:rPr>
        <w:t>市人民政府为</w:t>
      </w:r>
      <w:r>
        <w:rPr>
          <w:rFonts w:hint="eastAsia" w:ascii="仿宋_GB2312" w:eastAsia="仿宋_GB2312" w:cs="仿宋_GB2312"/>
          <w:spacing w:val="0"/>
          <w:sz w:val="30"/>
          <w:szCs w:val="30"/>
        </w:rPr>
        <w:t>九江市</w:t>
      </w:r>
      <w:r>
        <w:rPr>
          <w:rFonts w:hint="eastAsia" w:ascii="仿宋_GB2312" w:eastAsia="仿宋_GB2312" w:cs="仿宋_GB2312"/>
          <w:spacing w:val="0"/>
          <w:sz w:val="30"/>
          <w:szCs w:val="30"/>
          <w:shd w:val="clear" w:fill="FFFFFF"/>
        </w:rPr>
        <w:t>历史城区保护责任人，历史文化街区所在地的县（市、区）人民政府为历史文化街区保护责任人。</w:t>
      </w:r>
    </w:p>
    <w:p>
      <w:pPr>
        <w:pStyle w:val="8"/>
        <w:keepNext w:val="0"/>
        <w:keepLines w:val="0"/>
        <w:widowControl/>
        <w:suppressLineNumbers w:val="0"/>
        <w:spacing w:line="555" w:lineRule="atLeast"/>
        <w:ind w:left="0" w:firstLine="660"/>
      </w:pPr>
      <w:r>
        <w:rPr>
          <w:rFonts w:hint="default" w:ascii="楷体_GB2312" w:eastAsia="楷体_GB2312" w:cs="楷体_GB2312"/>
          <w:spacing w:val="0"/>
          <w:sz w:val="30"/>
          <w:szCs w:val="30"/>
          <w:shd w:val="clear" w:fill="FFFFFF"/>
        </w:rPr>
        <w:t>第十五条</w:t>
      </w:r>
      <w:r>
        <w:rPr>
          <w:rStyle w:val="11"/>
          <w:rFonts w:hint="eastAsia" w:ascii="仿宋_GB2312" w:eastAsia="仿宋_GB2312" w:cs="仿宋_GB2312"/>
          <w:spacing w:val="0"/>
          <w:sz w:val="30"/>
          <w:szCs w:val="30"/>
          <w:shd w:val="clear" w:fill="FFFFFF"/>
        </w:rPr>
        <w:t>  </w:t>
      </w:r>
      <w:r>
        <w:rPr>
          <w:rFonts w:hint="eastAsia" w:ascii="仿宋_GB2312" w:eastAsia="仿宋_GB2312" w:cs="仿宋_GB2312"/>
          <w:spacing w:val="0"/>
          <w:sz w:val="30"/>
          <w:szCs w:val="30"/>
        </w:rPr>
        <w:t>在历史文化名城保护范围内从事建设活动，应当</w:t>
      </w:r>
      <w:r>
        <w:rPr>
          <w:rFonts w:hint="eastAsia" w:ascii="仿宋_GB2312" w:eastAsia="仿宋_GB2312" w:cs="仿宋_GB2312"/>
          <w:spacing w:val="0"/>
          <w:sz w:val="30"/>
          <w:szCs w:val="30"/>
          <w:shd w:val="clear" w:fill="FFFFFF"/>
        </w:rPr>
        <w:t>符合保护规划的要求，不得损害历史文化遗产的真实性和完整性，不得对其传统格局和历史风貌构成破坏性影响。</w:t>
      </w:r>
    </w:p>
    <w:p>
      <w:pPr>
        <w:pStyle w:val="8"/>
        <w:keepNext w:val="0"/>
        <w:keepLines w:val="0"/>
        <w:widowControl/>
        <w:suppressLineNumbers w:val="0"/>
        <w:spacing w:line="555" w:lineRule="atLeast"/>
        <w:ind w:left="75" w:firstLine="660"/>
      </w:pPr>
      <w:r>
        <w:rPr>
          <w:rFonts w:hint="default" w:ascii="楷体_GB2312" w:eastAsia="楷体_GB2312" w:cs="楷体_GB2312"/>
          <w:spacing w:val="0"/>
          <w:sz w:val="30"/>
          <w:szCs w:val="30"/>
          <w:shd w:val="clear" w:fill="FFFFFF"/>
        </w:rPr>
        <w:t>第十六条</w:t>
      </w:r>
      <w:r>
        <w:rPr>
          <w:rStyle w:val="11"/>
          <w:rFonts w:hint="eastAsia" w:ascii="仿宋_GB2312" w:eastAsia="仿宋_GB2312" w:cs="仿宋_GB2312"/>
          <w:spacing w:val="0"/>
          <w:sz w:val="30"/>
          <w:szCs w:val="30"/>
          <w:shd w:val="clear" w:fill="FFFFFF"/>
        </w:rPr>
        <w:t>  </w:t>
      </w:r>
      <w:r>
        <w:rPr>
          <w:rFonts w:hint="eastAsia" w:ascii="仿宋_GB2312" w:eastAsia="仿宋_GB2312" w:cs="仿宋_GB2312"/>
          <w:spacing w:val="0"/>
          <w:sz w:val="30"/>
          <w:szCs w:val="30"/>
          <w:shd w:val="clear" w:fill="FFFFFF"/>
        </w:rPr>
        <w:t>在历史文化名城的保护范围内禁止进行下列活动:</w:t>
      </w:r>
    </w:p>
    <w:p>
      <w:pPr>
        <w:pStyle w:val="8"/>
        <w:keepNext w:val="0"/>
        <w:keepLines w:val="0"/>
        <w:widowControl/>
        <w:suppressLineNumbers w:val="0"/>
        <w:spacing w:line="555" w:lineRule="atLeast"/>
        <w:ind w:left="75" w:firstLine="660"/>
      </w:pPr>
      <w:r>
        <w:rPr>
          <w:rFonts w:hint="eastAsia" w:ascii="仿宋_GB2312" w:eastAsia="仿宋_GB2312" w:cs="仿宋_GB2312"/>
          <w:spacing w:val="0"/>
          <w:sz w:val="30"/>
          <w:szCs w:val="30"/>
          <w:shd w:val="clear" w:fill="FFFFFF"/>
        </w:rPr>
        <w:t>（一）擅自开山、采石、开矿、取土、挖沙、围填水面、抽取地下水等破坏传统格局和历史风貌的活动；</w:t>
      </w:r>
    </w:p>
    <w:p>
      <w:pPr>
        <w:pStyle w:val="8"/>
        <w:keepNext w:val="0"/>
        <w:keepLines w:val="0"/>
        <w:widowControl/>
        <w:suppressLineNumbers w:val="0"/>
        <w:spacing w:line="555" w:lineRule="atLeast"/>
        <w:ind w:left="75" w:firstLine="660"/>
      </w:pPr>
      <w:r>
        <w:rPr>
          <w:rFonts w:hint="eastAsia" w:ascii="仿宋_GB2312" w:eastAsia="仿宋_GB2312" w:cs="仿宋_GB2312"/>
          <w:spacing w:val="0"/>
          <w:sz w:val="30"/>
          <w:szCs w:val="30"/>
          <w:shd w:val="clear" w:fill="FFFFFF"/>
        </w:rPr>
        <w:t>（二）占用保护规划确定保留的园林绿地、河湖水系、传统街巷、道路等；</w:t>
      </w:r>
    </w:p>
    <w:p>
      <w:pPr>
        <w:pStyle w:val="8"/>
        <w:keepNext w:val="0"/>
        <w:keepLines w:val="0"/>
        <w:widowControl/>
        <w:suppressLineNumbers w:val="0"/>
        <w:spacing w:line="555" w:lineRule="atLeast"/>
        <w:ind w:left="0" w:firstLine="660"/>
      </w:pPr>
      <w:r>
        <w:rPr>
          <w:rFonts w:hint="eastAsia" w:ascii="仿宋_GB2312" w:eastAsia="仿宋_GB2312" w:cs="仿宋_GB2312"/>
          <w:spacing w:val="0"/>
          <w:sz w:val="30"/>
          <w:szCs w:val="30"/>
          <w:shd w:val="clear" w:fill="FFFFFF"/>
        </w:rPr>
        <w:t>（三）损坏或者擅自拆除历史建筑构件；</w:t>
      </w:r>
    </w:p>
    <w:p>
      <w:pPr>
        <w:pStyle w:val="8"/>
        <w:keepNext w:val="0"/>
        <w:keepLines w:val="0"/>
        <w:widowControl/>
        <w:suppressLineNumbers w:val="0"/>
        <w:spacing w:line="555" w:lineRule="atLeast"/>
        <w:ind w:left="75" w:firstLine="660"/>
      </w:pPr>
      <w:r>
        <w:rPr>
          <w:rFonts w:hint="eastAsia" w:ascii="仿宋_GB2312" w:eastAsia="仿宋_GB2312" w:cs="仿宋_GB2312"/>
          <w:spacing w:val="0"/>
          <w:sz w:val="30"/>
          <w:szCs w:val="30"/>
          <w:shd w:val="clear" w:fill="FFFFFF"/>
        </w:rPr>
        <w:t>（四）在历史建筑上刻画、涂污、设置招牌、户外广告等；</w:t>
      </w:r>
    </w:p>
    <w:p>
      <w:pPr>
        <w:pStyle w:val="8"/>
        <w:keepNext w:val="0"/>
        <w:keepLines w:val="0"/>
        <w:widowControl/>
        <w:suppressLineNumbers w:val="0"/>
        <w:spacing w:line="555" w:lineRule="atLeast"/>
        <w:ind w:left="75" w:firstLine="660"/>
      </w:pPr>
      <w:r>
        <w:rPr>
          <w:rFonts w:hint="eastAsia" w:ascii="仿宋_GB2312" w:eastAsia="仿宋_GB2312" w:cs="仿宋_GB2312"/>
          <w:spacing w:val="0"/>
          <w:sz w:val="30"/>
          <w:szCs w:val="30"/>
          <w:shd w:val="clear" w:fill="FFFFFF"/>
        </w:rPr>
        <w:t>（五）在历史建筑内堆放易燃、易爆和腐蚀性的物品；</w:t>
      </w:r>
    </w:p>
    <w:p>
      <w:pPr>
        <w:pStyle w:val="8"/>
        <w:keepNext w:val="0"/>
        <w:keepLines w:val="0"/>
        <w:widowControl/>
        <w:suppressLineNumbers w:val="0"/>
        <w:spacing w:line="555" w:lineRule="atLeast"/>
        <w:ind w:left="75" w:firstLine="660"/>
      </w:pPr>
      <w:r>
        <w:rPr>
          <w:rFonts w:hint="eastAsia" w:ascii="仿宋_GB2312" w:eastAsia="仿宋_GB2312" w:cs="仿宋_GB2312"/>
          <w:spacing w:val="0"/>
          <w:sz w:val="30"/>
          <w:szCs w:val="30"/>
          <w:shd w:val="clear" w:fill="FFFFFF"/>
        </w:rPr>
        <w:t>（六）其他破坏传统格局、历史风貌或者历史建筑的活动。</w:t>
      </w:r>
    </w:p>
    <w:p>
      <w:pPr>
        <w:pStyle w:val="8"/>
        <w:keepNext w:val="0"/>
        <w:keepLines w:val="0"/>
        <w:widowControl/>
        <w:suppressLineNumbers w:val="0"/>
        <w:spacing w:line="555" w:lineRule="atLeast"/>
        <w:ind w:left="0" w:firstLine="705"/>
      </w:pPr>
      <w:r>
        <w:rPr>
          <w:rFonts w:hint="default" w:ascii="楷体_GB2312" w:eastAsia="楷体_GB2312" w:cs="楷体_GB2312"/>
          <w:spacing w:val="0"/>
          <w:sz w:val="30"/>
          <w:szCs w:val="30"/>
          <w:shd w:val="clear" w:fill="FFFFFF"/>
        </w:rPr>
        <w:t>第十七条</w:t>
      </w:r>
      <w:r>
        <w:rPr>
          <w:rStyle w:val="11"/>
          <w:rFonts w:hint="eastAsia" w:ascii="仿宋_GB2312" w:eastAsia="仿宋_GB2312" w:cs="仿宋_GB2312"/>
          <w:spacing w:val="0"/>
          <w:sz w:val="30"/>
          <w:szCs w:val="30"/>
          <w:shd w:val="clear" w:fill="FFFFFF"/>
        </w:rPr>
        <w:t>  </w:t>
      </w:r>
      <w:r>
        <w:rPr>
          <w:rFonts w:hint="eastAsia" w:ascii="仿宋_GB2312" w:eastAsia="仿宋_GB2312" w:cs="仿宋_GB2312"/>
          <w:spacing w:val="0"/>
          <w:sz w:val="30"/>
          <w:szCs w:val="30"/>
          <w:shd w:val="clear" w:fill="FFFFFF"/>
        </w:rPr>
        <w:t>历史文化街区核心保护范围内进行建设活动，应当符合保护规划，并遵循下列规定：</w:t>
      </w:r>
    </w:p>
    <w:p>
      <w:pPr>
        <w:pStyle w:val="8"/>
        <w:keepNext w:val="0"/>
        <w:keepLines w:val="0"/>
        <w:widowControl/>
        <w:suppressLineNumbers w:val="0"/>
        <w:spacing w:line="555" w:lineRule="atLeast"/>
        <w:ind w:left="75" w:firstLine="660"/>
      </w:pPr>
      <w:r>
        <w:rPr>
          <w:rFonts w:hint="eastAsia" w:ascii="仿宋_GB2312" w:eastAsia="仿宋_GB2312" w:cs="仿宋_GB2312"/>
          <w:spacing w:val="0"/>
          <w:sz w:val="30"/>
          <w:szCs w:val="30"/>
          <w:shd w:val="clear" w:fill="FFFFFF"/>
        </w:rPr>
        <w:t>（一）除必要的基础设施和公共服务设施外，不得进行与保护无关的新建、扩建活动；</w:t>
      </w:r>
    </w:p>
    <w:p>
      <w:pPr>
        <w:pStyle w:val="8"/>
        <w:keepNext w:val="0"/>
        <w:keepLines w:val="0"/>
        <w:widowControl/>
        <w:suppressLineNumbers w:val="0"/>
        <w:spacing w:line="555" w:lineRule="atLeast"/>
        <w:ind w:left="75" w:firstLine="660"/>
      </w:pPr>
      <w:r>
        <w:rPr>
          <w:rFonts w:hint="eastAsia" w:ascii="仿宋_GB2312" w:eastAsia="仿宋_GB2312" w:cs="仿宋_GB2312"/>
          <w:spacing w:val="0"/>
          <w:sz w:val="30"/>
          <w:szCs w:val="30"/>
          <w:shd w:val="clear" w:fill="FFFFFF"/>
        </w:rPr>
        <w:t>（二）不得擅自改变历史文化街区空间格局和建筑物原有</w:t>
      </w:r>
    </w:p>
    <w:p>
      <w:pPr>
        <w:pStyle w:val="8"/>
        <w:keepNext w:val="0"/>
        <w:keepLines w:val="0"/>
        <w:widowControl/>
        <w:suppressLineNumbers w:val="0"/>
        <w:spacing w:line="555" w:lineRule="atLeast"/>
      </w:pPr>
      <w:r>
        <w:rPr>
          <w:rFonts w:hint="eastAsia" w:ascii="仿宋_GB2312" w:eastAsia="仿宋_GB2312" w:cs="仿宋_GB2312"/>
          <w:spacing w:val="0"/>
          <w:sz w:val="30"/>
          <w:szCs w:val="30"/>
          <w:shd w:val="clear" w:fill="FFFFFF"/>
        </w:rPr>
        <w:t>的立面、色彩；</w:t>
      </w:r>
    </w:p>
    <w:p>
      <w:pPr>
        <w:pStyle w:val="8"/>
        <w:keepNext w:val="0"/>
        <w:keepLines w:val="0"/>
        <w:widowControl/>
        <w:suppressLineNumbers w:val="0"/>
        <w:spacing w:line="555" w:lineRule="atLeast"/>
        <w:ind w:left="75" w:firstLine="660"/>
      </w:pPr>
      <w:r>
        <w:rPr>
          <w:rFonts w:hint="eastAsia" w:ascii="仿宋_GB2312" w:eastAsia="仿宋_GB2312" w:cs="仿宋_GB2312"/>
          <w:spacing w:val="0"/>
          <w:sz w:val="30"/>
          <w:szCs w:val="30"/>
          <w:shd w:val="clear" w:fill="FFFFFF"/>
        </w:rPr>
        <w:t>（三）对现有道路、街巷进行改建时，应当保持或者恢复传统格局和空间环境，并采取有效的保护措施，不得损害保护对象；</w:t>
      </w:r>
    </w:p>
    <w:p>
      <w:pPr>
        <w:pStyle w:val="8"/>
        <w:keepNext w:val="0"/>
        <w:keepLines w:val="0"/>
        <w:widowControl/>
        <w:suppressLineNumbers w:val="0"/>
        <w:spacing w:line="555" w:lineRule="atLeast"/>
        <w:ind w:left="75" w:firstLine="660"/>
      </w:pPr>
      <w:r>
        <w:rPr>
          <w:rFonts w:hint="eastAsia" w:ascii="仿宋_GB2312" w:eastAsia="仿宋_GB2312" w:cs="仿宋_GB2312"/>
          <w:spacing w:val="0"/>
          <w:sz w:val="30"/>
          <w:szCs w:val="30"/>
          <w:shd w:val="clear" w:fill="FFFFFF"/>
        </w:rPr>
        <w:t>（四）拆除历史建筑以外的建筑物、构筑物或者其他设施的，应当经城乡规划主管部门会同同级文物主管部门批准。</w:t>
      </w:r>
    </w:p>
    <w:p>
      <w:pPr>
        <w:pStyle w:val="8"/>
        <w:keepNext w:val="0"/>
        <w:keepLines w:val="0"/>
        <w:widowControl/>
        <w:suppressLineNumbers w:val="0"/>
        <w:spacing w:line="555" w:lineRule="atLeast"/>
        <w:ind w:left="0" w:firstLine="660"/>
      </w:pPr>
      <w:r>
        <w:rPr>
          <w:rFonts w:hint="default" w:ascii="楷体_GB2312" w:eastAsia="楷体_GB2312" w:cs="楷体_GB2312"/>
          <w:spacing w:val="0"/>
          <w:sz w:val="30"/>
          <w:szCs w:val="30"/>
          <w:shd w:val="clear" w:fill="FFFFFF"/>
        </w:rPr>
        <w:t>第十八条</w:t>
      </w:r>
      <w:r>
        <w:rPr>
          <w:rStyle w:val="11"/>
          <w:rFonts w:hint="eastAsia" w:ascii="仿宋_GB2312" w:eastAsia="仿宋_GB2312" w:cs="仿宋_GB2312"/>
          <w:spacing w:val="0"/>
          <w:sz w:val="30"/>
          <w:szCs w:val="30"/>
          <w:shd w:val="clear" w:fill="FFFFFF"/>
        </w:rPr>
        <w:t>  </w:t>
      </w:r>
      <w:r>
        <w:rPr>
          <w:rFonts w:hint="eastAsia" w:ascii="仿宋_GB2312" w:eastAsia="仿宋_GB2312" w:cs="仿宋_GB2312"/>
          <w:spacing w:val="0"/>
          <w:sz w:val="30"/>
          <w:szCs w:val="30"/>
        </w:rPr>
        <w:t>在</w:t>
      </w:r>
      <w:r>
        <w:rPr>
          <w:rFonts w:hint="eastAsia" w:ascii="仿宋_GB2312" w:eastAsia="仿宋_GB2312" w:cs="仿宋_GB2312"/>
          <w:spacing w:val="0"/>
          <w:sz w:val="30"/>
          <w:szCs w:val="30"/>
          <w:shd w:val="clear" w:fill="FFFFFF"/>
        </w:rPr>
        <w:t>历史文化街区核心保护范围内，新建、扩建必要的基础设施和公共服务设施的，城乡规划主管部门核发建设工程规划许可证前，应当征求同级文物主管部门和历史建筑主管部门的意见。</w:t>
      </w:r>
    </w:p>
    <w:p>
      <w:pPr>
        <w:pStyle w:val="8"/>
        <w:keepNext w:val="0"/>
        <w:keepLines w:val="0"/>
        <w:widowControl/>
        <w:suppressLineNumbers w:val="0"/>
        <w:spacing w:line="555" w:lineRule="atLeast"/>
        <w:ind w:left="0" w:firstLine="660"/>
      </w:pPr>
      <w:r>
        <w:rPr>
          <w:rFonts w:hint="default" w:ascii="楷体_GB2312" w:eastAsia="楷体_GB2312" w:cs="楷体_GB2312"/>
          <w:spacing w:val="0"/>
          <w:sz w:val="30"/>
          <w:szCs w:val="30"/>
          <w:shd w:val="clear" w:fill="FFFFFF"/>
        </w:rPr>
        <w:t>第十九条</w:t>
      </w:r>
      <w:r>
        <w:rPr>
          <w:rStyle w:val="11"/>
          <w:rFonts w:hint="eastAsia" w:ascii="仿宋_GB2312" w:eastAsia="仿宋_GB2312" w:cs="仿宋_GB2312"/>
          <w:spacing w:val="0"/>
          <w:sz w:val="30"/>
          <w:szCs w:val="30"/>
          <w:shd w:val="clear" w:fill="FFFFFF"/>
        </w:rPr>
        <w:t>  </w:t>
      </w:r>
      <w:r>
        <w:rPr>
          <w:rFonts w:hint="eastAsia" w:ascii="仿宋_GB2312" w:eastAsia="仿宋_GB2312" w:cs="仿宋_GB2312"/>
          <w:spacing w:val="0"/>
          <w:sz w:val="30"/>
          <w:szCs w:val="30"/>
          <w:shd w:val="clear" w:fill="FFFFFF"/>
        </w:rPr>
        <w:t>历史文化街区核心保护范围内的消防设施、消防通道，应当按照有关的消防技术标准和规范设置。</w:t>
      </w:r>
      <w:r>
        <w:rPr>
          <w:rFonts w:hint="eastAsia" w:ascii="仿宋_GB2312" w:eastAsia="仿宋_GB2312" w:cs="仿宋_GB2312"/>
          <w:spacing w:val="0"/>
          <w:sz w:val="30"/>
          <w:szCs w:val="30"/>
        </w:rPr>
        <w:t>确</w:t>
      </w:r>
      <w:r>
        <w:rPr>
          <w:rFonts w:hint="eastAsia" w:ascii="仿宋_GB2312" w:eastAsia="仿宋_GB2312" w:cs="仿宋_GB2312"/>
          <w:spacing w:val="0"/>
          <w:sz w:val="30"/>
          <w:szCs w:val="30"/>
          <w:shd w:val="clear" w:fill="FFFFFF"/>
        </w:rPr>
        <w:t>因保护需要无法按照标准和规范设置的，由消防主管部门会同同级城乡规划主管部门制订相应的防火安全保障方案。</w:t>
      </w:r>
    </w:p>
    <w:p>
      <w:pPr>
        <w:pStyle w:val="8"/>
        <w:keepNext w:val="0"/>
        <w:keepLines w:val="0"/>
        <w:widowControl/>
        <w:suppressLineNumbers w:val="0"/>
        <w:spacing w:line="555" w:lineRule="atLeast"/>
        <w:ind w:left="75" w:firstLine="660"/>
      </w:pPr>
      <w:r>
        <w:rPr>
          <w:rFonts w:hint="default" w:ascii="楷体_GB2312" w:eastAsia="楷体_GB2312" w:cs="楷体_GB2312"/>
          <w:spacing w:val="0"/>
          <w:sz w:val="30"/>
          <w:szCs w:val="30"/>
          <w:shd w:val="clear" w:fill="FFFFFF"/>
        </w:rPr>
        <w:t>第二十条</w:t>
      </w:r>
      <w:r>
        <w:rPr>
          <w:rStyle w:val="11"/>
          <w:rFonts w:hint="eastAsia" w:ascii="仿宋_GB2312" w:eastAsia="仿宋_GB2312" w:cs="仿宋_GB2312"/>
          <w:spacing w:val="0"/>
          <w:sz w:val="30"/>
          <w:szCs w:val="30"/>
          <w:shd w:val="clear" w:fill="FFFFFF"/>
        </w:rPr>
        <w:t>  </w:t>
      </w:r>
      <w:r>
        <w:rPr>
          <w:rFonts w:hint="eastAsia" w:ascii="仿宋_GB2312" w:eastAsia="仿宋_GB2312" w:cs="仿宋_GB2312"/>
          <w:spacing w:val="0"/>
          <w:sz w:val="30"/>
          <w:szCs w:val="30"/>
          <w:shd w:val="clear" w:fill="FFFFFF"/>
        </w:rPr>
        <w:t>历史建筑根据其价值、特色、完好程度以及存续年份等不同情况，采取相应措施进行保护，遵循修旧如旧的原则，还原历史建筑原貌。</w:t>
      </w:r>
    </w:p>
    <w:p>
      <w:pPr>
        <w:pStyle w:val="8"/>
        <w:keepNext w:val="0"/>
        <w:keepLines w:val="0"/>
        <w:widowControl/>
        <w:suppressLineNumbers w:val="0"/>
        <w:spacing w:line="555" w:lineRule="atLeast"/>
        <w:ind w:left="75" w:firstLine="660"/>
      </w:pPr>
      <w:r>
        <w:rPr>
          <w:rFonts w:hint="default" w:ascii="楷体_GB2312" w:eastAsia="楷体_GB2312" w:cs="楷体_GB2312"/>
          <w:spacing w:val="0"/>
          <w:sz w:val="30"/>
          <w:szCs w:val="30"/>
          <w:shd w:val="clear" w:fill="FFFFFF"/>
        </w:rPr>
        <w:t>第二十一条</w:t>
      </w:r>
      <w:r>
        <w:rPr>
          <w:rStyle w:val="11"/>
          <w:rFonts w:hint="eastAsia" w:ascii="仿宋_GB2312" w:eastAsia="仿宋_GB2312" w:cs="仿宋_GB2312"/>
          <w:spacing w:val="0"/>
          <w:sz w:val="30"/>
          <w:szCs w:val="30"/>
          <w:shd w:val="clear" w:fill="FFFFFF"/>
        </w:rPr>
        <w:t>  </w:t>
      </w:r>
      <w:r>
        <w:rPr>
          <w:rFonts w:hint="eastAsia" w:ascii="仿宋_GB2312" w:eastAsia="仿宋_GB2312" w:cs="仿宋_GB2312"/>
          <w:spacing w:val="0"/>
          <w:sz w:val="30"/>
          <w:szCs w:val="30"/>
          <w:shd w:val="clear" w:fill="FFFFFF"/>
        </w:rPr>
        <w:t>市、县（市）人民政府住房和城乡建设主管部门应当会同同级文化、自然资源主管部门，编制历史建筑保护图则，并在历史建筑显著位置设置保护标志，建立档案。</w:t>
      </w:r>
    </w:p>
    <w:p>
      <w:pPr>
        <w:pStyle w:val="8"/>
        <w:keepNext w:val="0"/>
        <w:keepLines w:val="0"/>
        <w:widowControl/>
        <w:suppressLineNumbers w:val="0"/>
        <w:spacing w:line="555" w:lineRule="atLeast"/>
        <w:ind w:left="75" w:firstLine="660"/>
      </w:pPr>
      <w:r>
        <w:rPr>
          <w:rFonts w:hint="default" w:ascii="楷体_GB2312" w:eastAsia="楷体_GB2312" w:cs="楷体_GB2312"/>
          <w:spacing w:val="0"/>
          <w:sz w:val="30"/>
          <w:szCs w:val="30"/>
          <w:shd w:val="clear" w:fill="FFFFFF"/>
        </w:rPr>
        <w:t>第二十二条</w:t>
      </w:r>
      <w:r>
        <w:rPr>
          <w:rStyle w:val="11"/>
          <w:rFonts w:hint="eastAsia" w:ascii="仿宋_GB2312" w:eastAsia="仿宋_GB2312" w:cs="仿宋_GB2312"/>
          <w:spacing w:val="0"/>
          <w:sz w:val="30"/>
          <w:szCs w:val="30"/>
          <w:shd w:val="clear" w:fill="FFFFFF"/>
        </w:rPr>
        <w:t>  </w:t>
      </w:r>
      <w:r>
        <w:rPr>
          <w:rFonts w:hint="eastAsia" w:ascii="仿宋_GB2312" w:eastAsia="仿宋_GB2312" w:cs="仿宋_GB2312"/>
          <w:spacing w:val="0"/>
          <w:sz w:val="30"/>
          <w:szCs w:val="30"/>
          <w:shd w:val="clear" w:fill="FFFFFF"/>
        </w:rPr>
        <w:t>市、县（市）人民政府住房和城乡建设主管部门应当明确历史建筑的保护责任人和保护责任，并签订保护责任书。</w:t>
      </w:r>
    </w:p>
    <w:p>
      <w:pPr>
        <w:pStyle w:val="8"/>
        <w:keepNext w:val="0"/>
        <w:keepLines w:val="0"/>
        <w:widowControl/>
        <w:suppressLineNumbers w:val="0"/>
        <w:spacing w:line="555" w:lineRule="atLeast"/>
        <w:ind w:left="75" w:firstLine="660"/>
      </w:pPr>
      <w:r>
        <w:rPr>
          <w:rFonts w:hint="eastAsia" w:ascii="仿宋_GB2312" w:eastAsia="仿宋_GB2312" w:cs="仿宋_GB2312"/>
          <w:spacing w:val="0"/>
          <w:sz w:val="30"/>
          <w:szCs w:val="30"/>
          <w:shd w:val="clear" w:fill="FFFFFF"/>
        </w:rPr>
        <w:t>历史建筑的所有权人是保护责任人；所有权人不明确的，由历史建筑所在地的乡（镇）人民政府、街道办事处确定保护</w:t>
      </w:r>
      <w:r>
        <w:rPr>
          <w:rFonts w:hint="eastAsia" w:ascii="仿宋_GB2312" w:eastAsia="仿宋_GB2312" w:cs="仿宋_GB2312"/>
          <w:sz w:val="30"/>
          <w:szCs w:val="30"/>
          <w:shd w:val="clear" w:fill="FFFFFF"/>
        </w:rPr>
        <w:t>责任人，报市、县（市）人民政府住房和城乡建设主管部门备案。</w:t>
      </w:r>
    </w:p>
    <w:p>
      <w:pPr>
        <w:pStyle w:val="8"/>
        <w:keepNext w:val="0"/>
        <w:keepLines w:val="0"/>
        <w:widowControl/>
        <w:suppressLineNumbers w:val="0"/>
        <w:spacing w:line="555" w:lineRule="atLeast"/>
        <w:ind w:left="75" w:firstLine="660"/>
      </w:pPr>
      <w:r>
        <w:rPr>
          <w:rFonts w:hint="default" w:ascii="楷体_GB2312" w:eastAsia="楷体_GB2312" w:cs="楷体_GB2312"/>
          <w:spacing w:val="0"/>
          <w:sz w:val="30"/>
          <w:szCs w:val="30"/>
          <w:shd w:val="clear" w:fill="FFFFFF"/>
        </w:rPr>
        <w:t>第二十三条</w:t>
      </w:r>
      <w:r>
        <w:rPr>
          <w:rStyle w:val="11"/>
          <w:rFonts w:hint="eastAsia" w:ascii="仿宋_GB2312" w:eastAsia="仿宋_GB2312" w:cs="仿宋_GB2312"/>
          <w:spacing w:val="0"/>
          <w:sz w:val="30"/>
          <w:szCs w:val="30"/>
          <w:shd w:val="clear" w:fill="FFFFFF"/>
        </w:rPr>
        <w:t>  </w:t>
      </w:r>
      <w:r>
        <w:rPr>
          <w:rFonts w:hint="eastAsia" w:ascii="仿宋_GB2312" w:eastAsia="仿宋_GB2312" w:cs="仿宋_GB2312"/>
          <w:spacing w:val="0"/>
          <w:sz w:val="30"/>
          <w:szCs w:val="30"/>
          <w:shd w:val="clear" w:fill="FFFFFF"/>
        </w:rPr>
        <w:t>历史建筑保护责任人负责历史建筑的维护和修缮。</w:t>
      </w:r>
    </w:p>
    <w:p>
      <w:pPr>
        <w:pStyle w:val="8"/>
        <w:keepNext w:val="0"/>
        <w:keepLines w:val="0"/>
        <w:widowControl/>
        <w:suppressLineNumbers w:val="0"/>
        <w:spacing w:line="555" w:lineRule="atLeast"/>
        <w:ind w:left="75" w:firstLine="660"/>
      </w:pPr>
      <w:r>
        <w:rPr>
          <w:rFonts w:hint="eastAsia" w:ascii="仿宋_GB2312" w:eastAsia="仿宋_GB2312" w:cs="仿宋_GB2312"/>
          <w:spacing w:val="0"/>
          <w:sz w:val="30"/>
          <w:szCs w:val="30"/>
          <w:shd w:val="clear" w:fill="FFFFFF"/>
        </w:rPr>
        <w:t>对历史建筑进行外部修缮装饰、添加设施以及改变历史建筑的结构或者使用性质的，保护责任人应当依照有关法律、法规的规定报请批准。</w:t>
      </w:r>
    </w:p>
    <w:p>
      <w:pPr>
        <w:pStyle w:val="8"/>
        <w:keepNext w:val="0"/>
        <w:keepLines w:val="0"/>
        <w:widowControl/>
        <w:suppressLineNumbers w:val="0"/>
        <w:spacing w:line="555" w:lineRule="atLeast"/>
        <w:ind w:left="75" w:firstLine="660"/>
      </w:pPr>
      <w:r>
        <w:rPr>
          <w:rFonts w:hint="eastAsia" w:ascii="仿宋_GB2312" w:eastAsia="仿宋_GB2312" w:cs="仿宋_GB2312"/>
          <w:spacing w:val="0"/>
          <w:sz w:val="30"/>
          <w:szCs w:val="30"/>
          <w:shd w:val="clear" w:fill="FFFFFF"/>
        </w:rPr>
        <w:t>所有权为非国有的历史建筑维护修缮，市、县（市）人民政府给予适当资金补助。</w:t>
      </w:r>
    </w:p>
    <w:p>
      <w:pPr>
        <w:pStyle w:val="8"/>
        <w:keepNext w:val="0"/>
        <w:keepLines w:val="0"/>
        <w:widowControl/>
        <w:suppressLineNumbers w:val="0"/>
        <w:spacing w:before="585" w:beforeAutospacing="0" w:after="585" w:afterAutospacing="0" w:line="555" w:lineRule="atLeast"/>
        <w:jc w:val="center"/>
      </w:pPr>
      <w:r>
        <w:rPr>
          <w:rFonts w:hint="eastAsia" w:ascii="黑体" w:hAnsi="宋体" w:eastAsia="黑体" w:cs="黑体"/>
          <w:spacing w:val="0"/>
          <w:sz w:val="30"/>
          <w:szCs w:val="30"/>
          <w:shd w:val="clear" w:fill="FFFFFF"/>
        </w:rPr>
        <w:t>第四章 保护利用</w:t>
      </w:r>
    </w:p>
    <w:p>
      <w:pPr>
        <w:pStyle w:val="8"/>
        <w:keepNext w:val="0"/>
        <w:keepLines w:val="0"/>
        <w:widowControl/>
        <w:suppressLineNumbers w:val="0"/>
        <w:spacing w:line="555" w:lineRule="atLeast"/>
        <w:ind w:left="75" w:firstLine="660"/>
      </w:pPr>
      <w:r>
        <w:rPr>
          <w:rFonts w:hint="default" w:ascii="楷体_GB2312" w:eastAsia="楷体_GB2312" w:cs="楷体_GB2312"/>
          <w:spacing w:val="0"/>
          <w:sz w:val="30"/>
          <w:szCs w:val="30"/>
          <w:shd w:val="clear" w:fill="FFFFFF"/>
        </w:rPr>
        <w:t>第二十四条</w:t>
      </w:r>
      <w:r>
        <w:rPr>
          <w:rStyle w:val="11"/>
          <w:rFonts w:hint="eastAsia" w:ascii="仿宋_GB2312" w:eastAsia="仿宋_GB2312" w:cs="仿宋_GB2312"/>
          <w:spacing w:val="0"/>
          <w:sz w:val="30"/>
          <w:szCs w:val="30"/>
          <w:shd w:val="clear" w:fill="FFFFFF"/>
        </w:rPr>
        <w:t>  </w:t>
      </w:r>
      <w:r>
        <w:rPr>
          <w:rFonts w:hint="eastAsia" w:ascii="仿宋_GB2312" w:eastAsia="仿宋_GB2312" w:cs="仿宋_GB2312"/>
          <w:spacing w:val="0"/>
          <w:sz w:val="30"/>
          <w:szCs w:val="30"/>
          <w:shd w:val="clear" w:fill="FFFFFF"/>
        </w:rPr>
        <w:t>市、县（市、区）人民政府应当加强历史文化名城保护利用的科技创新、研究能力，支持高等院校、科研院所承担或参与名城相关项目和课题。通过政策引导、资金资助、简化手续等方式促进历史文化街区、不可移动文物、历史建筑的合理利用。</w:t>
      </w:r>
    </w:p>
    <w:p>
      <w:pPr>
        <w:pStyle w:val="8"/>
        <w:keepNext w:val="0"/>
        <w:keepLines w:val="0"/>
        <w:widowControl/>
        <w:suppressLineNumbers w:val="0"/>
        <w:spacing w:line="555" w:lineRule="atLeast"/>
        <w:ind w:left="75" w:firstLine="660"/>
      </w:pPr>
      <w:r>
        <w:rPr>
          <w:rFonts w:hint="default" w:ascii="楷体_GB2312" w:eastAsia="楷体_GB2312" w:cs="楷体_GB2312"/>
          <w:spacing w:val="0"/>
          <w:sz w:val="30"/>
          <w:szCs w:val="30"/>
          <w:shd w:val="clear" w:fill="FFFFFF"/>
        </w:rPr>
        <w:t>第二十五条</w:t>
      </w:r>
      <w:r>
        <w:rPr>
          <w:rStyle w:val="11"/>
          <w:rFonts w:hint="eastAsia" w:ascii="仿宋_GB2312" w:eastAsia="仿宋_GB2312" w:cs="仿宋_GB2312"/>
          <w:spacing w:val="0"/>
          <w:sz w:val="30"/>
          <w:szCs w:val="30"/>
          <w:shd w:val="clear" w:fill="FFFFFF"/>
        </w:rPr>
        <w:t>  </w:t>
      </w:r>
      <w:r>
        <w:rPr>
          <w:rFonts w:hint="eastAsia" w:ascii="仿宋_GB2312" w:eastAsia="仿宋_GB2312" w:cs="仿宋_GB2312"/>
          <w:spacing w:val="0"/>
          <w:sz w:val="30"/>
          <w:szCs w:val="30"/>
          <w:shd w:val="clear" w:fill="FFFFFF"/>
        </w:rPr>
        <w:t>市、县（市、区）人民政府可以通过以下措施支持和鼓励历史建筑的合理利用：</w:t>
      </w:r>
    </w:p>
    <w:p>
      <w:pPr>
        <w:pStyle w:val="8"/>
        <w:keepNext w:val="0"/>
        <w:keepLines w:val="0"/>
        <w:widowControl/>
        <w:suppressLineNumbers w:val="0"/>
        <w:spacing w:line="555" w:lineRule="atLeast"/>
        <w:ind w:left="75" w:firstLine="660"/>
      </w:pPr>
      <w:r>
        <w:rPr>
          <w:rFonts w:hint="eastAsia" w:ascii="仿宋_GB2312" w:eastAsia="仿宋_GB2312" w:cs="仿宋_GB2312"/>
          <w:spacing w:val="0"/>
          <w:sz w:val="30"/>
          <w:szCs w:val="30"/>
          <w:shd w:val="clear" w:fill="FFFFFF"/>
        </w:rPr>
        <w:t>（一）鼓励社会资本和个人参与历史建筑的保护和利用；</w:t>
      </w:r>
    </w:p>
    <w:p>
      <w:pPr>
        <w:pStyle w:val="8"/>
        <w:keepNext w:val="0"/>
        <w:keepLines w:val="0"/>
        <w:widowControl/>
        <w:suppressLineNumbers w:val="0"/>
        <w:spacing w:line="555" w:lineRule="atLeast"/>
        <w:ind w:left="75" w:firstLine="660"/>
      </w:pPr>
      <w:r>
        <w:rPr>
          <w:rFonts w:hint="eastAsia" w:ascii="仿宋_GB2312" w:eastAsia="仿宋_GB2312" w:cs="仿宋_GB2312"/>
          <w:spacing w:val="0"/>
          <w:sz w:val="30"/>
          <w:szCs w:val="30"/>
          <w:shd w:val="clear" w:fill="FFFFFF"/>
        </w:rPr>
        <w:t>（二）根据历史建筑的特点，可将历史建筑用作博物馆、展览馆、纪念馆、传统文化研究等保护性利用。</w:t>
      </w:r>
    </w:p>
    <w:p>
      <w:pPr>
        <w:pStyle w:val="8"/>
        <w:keepNext w:val="0"/>
        <w:keepLines w:val="0"/>
        <w:widowControl/>
        <w:suppressLineNumbers w:val="0"/>
        <w:spacing w:before="585" w:beforeAutospacing="0" w:after="585" w:afterAutospacing="0" w:line="555" w:lineRule="atLeast"/>
        <w:jc w:val="center"/>
      </w:pPr>
      <w:r>
        <w:rPr>
          <w:rFonts w:hint="eastAsia" w:ascii="黑体" w:hAnsi="宋体" w:eastAsia="黑体" w:cs="黑体"/>
          <w:spacing w:val="0"/>
          <w:sz w:val="30"/>
          <w:szCs w:val="30"/>
          <w:shd w:val="clear" w:fill="FFFFFF"/>
        </w:rPr>
        <w:t>第五章  法律责任</w:t>
      </w:r>
    </w:p>
    <w:p>
      <w:pPr>
        <w:pStyle w:val="8"/>
        <w:keepNext w:val="0"/>
        <w:keepLines w:val="0"/>
        <w:widowControl/>
        <w:suppressLineNumbers w:val="0"/>
        <w:spacing w:line="555" w:lineRule="atLeast"/>
        <w:ind w:left="0" w:firstLine="660"/>
      </w:pPr>
      <w:r>
        <w:rPr>
          <w:rFonts w:hint="default" w:ascii="楷体_GB2312" w:eastAsia="楷体_GB2312" w:cs="楷体_GB2312"/>
          <w:spacing w:val="0"/>
          <w:sz w:val="30"/>
          <w:szCs w:val="30"/>
          <w:shd w:val="clear" w:fill="FFFFFF"/>
        </w:rPr>
        <w:t>第二十六条</w:t>
      </w:r>
      <w:r>
        <w:rPr>
          <w:rStyle w:val="11"/>
          <w:rFonts w:hint="eastAsia" w:ascii="仿宋_GB2312" w:eastAsia="仿宋_GB2312" w:cs="仿宋_GB2312"/>
          <w:spacing w:val="0"/>
          <w:sz w:val="30"/>
          <w:szCs w:val="30"/>
          <w:shd w:val="clear" w:fill="FFFFFF"/>
        </w:rPr>
        <w:t>  </w:t>
      </w:r>
      <w:r>
        <w:rPr>
          <w:rFonts w:hint="eastAsia" w:ascii="仿宋_GB2312" w:eastAsia="仿宋_GB2312" w:cs="仿宋_GB2312"/>
          <w:spacing w:val="0"/>
          <w:sz w:val="30"/>
          <w:szCs w:val="30"/>
          <w:shd w:val="clear" w:fill="FFFFFF"/>
        </w:rPr>
        <w:t>违反本办法规定，依照有关法律法规的规定予以处罚。</w:t>
      </w:r>
    </w:p>
    <w:p>
      <w:pPr>
        <w:pStyle w:val="8"/>
        <w:keepNext w:val="0"/>
        <w:keepLines w:val="0"/>
        <w:widowControl/>
        <w:suppressLineNumbers w:val="0"/>
        <w:spacing w:line="555" w:lineRule="atLeast"/>
        <w:ind w:left="0" w:firstLine="660"/>
      </w:pPr>
      <w:r>
        <w:rPr>
          <w:rFonts w:hint="default" w:ascii="楷体_GB2312" w:eastAsia="楷体_GB2312" w:cs="楷体_GB2312"/>
          <w:spacing w:val="0"/>
          <w:sz w:val="30"/>
          <w:szCs w:val="30"/>
          <w:shd w:val="clear" w:fill="FFFFFF"/>
        </w:rPr>
        <w:t>第二十七条</w:t>
      </w:r>
      <w:r>
        <w:rPr>
          <w:rStyle w:val="11"/>
          <w:rFonts w:hint="eastAsia" w:ascii="仿宋_GB2312" w:eastAsia="仿宋_GB2312" w:cs="仿宋_GB2312"/>
          <w:spacing w:val="0"/>
          <w:sz w:val="30"/>
          <w:szCs w:val="30"/>
          <w:shd w:val="clear" w:fill="FFFFFF"/>
        </w:rPr>
        <w:t>  </w:t>
      </w:r>
      <w:r>
        <w:rPr>
          <w:rFonts w:hint="eastAsia" w:ascii="仿宋_GB2312" w:eastAsia="仿宋_GB2312" w:cs="仿宋_GB2312"/>
          <w:spacing w:val="0"/>
          <w:sz w:val="30"/>
          <w:szCs w:val="30"/>
          <w:shd w:val="clear" w:fill="FFFFFF"/>
        </w:rPr>
        <w:t>市、县（市、区）人民政府及其有关主管部门的工作人员，不履行监督管理职责，发现违法行为不予查处或者有其他滥用职权、玩忽职守、徇私舞弊行为，构成犯罪的，依法追究刑事责任；尚不构成犯罪的，依法给予处分。</w:t>
      </w:r>
    </w:p>
    <w:p>
      <w:pPr>
        <w:pStyle w:val="8"/>
        <w:keepNext w:val="0"/>
        <w:keepLines w:val="0"/>
        <w:widowControl/>
        <w:suppressLineNumbers w:val="0"/>
        <w:spacing w:before="585" w:beforeAutospacing="0" w:after="585" w:afterAutospacing="0" w:line="555" w:lineRule="atLeast"/>
        <w:jc w:val="center"/>
      </w:pPr>
      <w:r>
        <w:rPr>
          <w:rFonts w:hint="eastAsia" w:ascii="黑体" w:hAnsi="宋体" w:eastAsia="黑体" w:cs="黑体"/>
          <w:spacing w:val="0"/>
          <w:sz w:val="30"/>
          <w:szCs w:val="30"/>
          <w:shd w:val="clear" w:fill="FFFFFF"/>
        </w:rPr>
        <w:t>第六章  附  则</w:t>
      </w:r>
    </w:p>
    <w:p>
      <w:pPr>
        <w:pStyle w:val="8"/>
        <w:keepNext w:val="0"/>
        <w:keepLines w:val="0"/>
        <w:widowControl/>
        <w:suppressLineNumbers w:val="0"/>
        <w:spacing w:line="555" w:lineRule="atLeast"/>
        <w:ind w:left="0" w:firstLine="660"/>
      </w:pPr>
      <w:r>
        <w:rPr>
          <w:rFonts w:hint="default" w:ascii="楷体_GB2312" w:eastAsia="楷体_GB2312" w:cs="楷体_GB2312"/>
          <w:spacing w:val="0"/>
          <w:sz w:val="30"/>
          <w:szCs w:val="30"/>
          <w:shd w:val="clear" w:fill="FFFFFF"/>
        </w:rPr>
        <w:t>第二十八条</w:t>
      </w:r>
      <w:r>
        <w:rPr>
          <w:rStyle w:val="11"/>
          <w:rFonts w:hint="eastAsia" w:ascii="仿宋_GB2312" w:eastAsia="仿宋_GB2312" w:cs="仿宋_GB2312"/>
          <w:spacing w:val="0"/>
          <w:sz w:val="30"/>
          <w:szCs w:val="30"/>
          <w:shd w:val="clear" w:fill="FFFFFF"/>
        </w:rPr>
        <w:t>  </w:t>
      </w:r>
      <w:r>
        <w:rPr>
          <w:rFonts w:hint="eastAsia" w:ascii="仿宋_GB2312" w:eastAsia="仿宋_GB2312" w:cs="仿宋_GB2312"/>
          <w:spacing w:val="0"/>
          <w:sz w:val="30"/>
          <w:szCs w:val="30"/>
          <w:shd w:val="clear" w:fill="FFFFFF"/>
        </w:rPr>
        <w:t>县（市、区）人民政府可根据本办法对辖区内的名镇或名村制定相关保护办法。</w:t>
      </w:r>
    </w:p>
    <w:p>
      <w:pPr>
        <w:pStyle w:val="8"/>
        <w:keepNext w:val="0"/>
        <w:keepLines w:val="0"/>
        <w:widowControl/>
        <w:suppressLineNumbers w:val="0"/>
        <w:spacing w:line="555" w:lineRule="atLeast"/>
        <w:ind w:left="75" w:firstLine="660"/>
      </w:pPr>
      <w:r>
        <w:rPr>
          <w:rFonts w:hint="default" w:ascii="楷体_GB2312" w:eastAsia="楷体_GB2312" w:cs="楷体_GB2312"/>
          <w:spacing w:val="0"/>
          <w:sz w:val="30"/>
          <w:szCs w:val="30"/>
          <w:shd w:val="clear" w:fill="FFFFFF"/>
        </w:rPr>
        <w:t>第二十九条</w:t>
      </w:r>
      <w:r>
        <w:rPr>
          <w:rStyle w:val="11"/>
          <w:rFonts w:hint="eastAsia" w:ascii="仿宋_GB2312" w:eastAsia="仿宋_GB2312" w:cs="仿宋_GB2312"/>
          <w:spacing w:val="0"/>
          <w:sz w:val="30"/>
          <w:szCs w:val="30"/>
          <w:shd w:val="clear" w:fill="FFFFFF"/>
        </w:rPr>
        <w:t>  </w:t>
      </w:r>
      <w:r>
        <w:rPr>
          <w:rFonts w:hint="eastAsia" w:ascii="仿宋_GB2312" w:eastAsia="仿宋_GB2312" w:cs="仿宋_GB2312"/>
          <w:spacing w:val="0"/>
          <w:sz w:val="30"/>
          <w:szCs w:val="30"/>
          <w:shd w:val="clear" w:fill="FFFFFF"/>
        </w:rPr>
        <w:t>本办法自发布之日起30日后施行，有效期5年。  </w:t>
      </w:r>
    </w:p>
    <w:p>
      <w:pPr>
        <w:pStyle w:val="8"/>
        <w:keepNext w:val="0"/>
        <w:keepLines w:val="0"/>
        <w:widowControl/>
        <w:suppressLineNumbers w:val="0"/>
        <w:spacing w:before="0" w:beforeAutospacing="1" w:after="0" w:afterAutospacing="1" w:line="240" w:lineRule="atLeast"/>
        <w:ind w:left="0" w:right="0"/>
      </w:pPr>
    </w:p>
    <w:p>
      <w:pPr>
        <w:pStyle w:val="8"/>
        <w:keepNext w:val="0"/>
        <w:keepLines w:val="0"/>
        <w:widowControl/>
        <w:suppressLineNumbers w:val="0"/>
        <w:spacing w:before="0" w:beforeAutospacing="1" w:after="0" w:afterAutospacing="1" w:line="240" w:lineRule="atLeast"/>
        <w:ind w:left="0" w:right="0"/>
      </w:pPr>
    </w:p>
    <w:p>
      <w:pPr>
        <w:pStyle w:val="8"/>
        <w:keepNext w:val="0"/>
        <w:keepLines w:val="0"/>
        <w:widowControl/>
        <w:suppressLineNumbers w:val="0"/>
      </w:pPr>
    </w:p>
    <w:p>
      <w:pPr>
        <w:rPr>
          <w:rFonts w:hint="eastAsia"/>
          <w:lang w:val="en-US" w:eastAsia="zh-CN"/>
        </w:rPr>
      </w:pPr>
    </w:p>
    <w:sectPr>
      <w:headerReference r:id="rId3" w:type="default"/>
      <w:footerReference r:id="rId4" w:type="default"/>
      <w:pgSz w:w="11906" w:h="16838"/>
      <w:pgMar w:top="1962" w:right="1474" w:bottom="1848" w:left="1587" w:header="851" w:footer="992" w:gutter="0"/>
      <w:pgNumType w:fmt="numberInDash"/>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Liberation Serif">
    <w:altName w:val="Times New Roman"/>
    <w:panose1 w:val="00000000000000000000"/>
    <w:charset w:val="01"/>
    <w:family w:val="roman"/>
    <w:pitch w:val="default"/>
    <w:sig w:usb0="00000000" w:usb1="00000000" w:usb2="00000000" w:usb3="00000000" w:csb0="00040001" w:csb1="00000000"/>
  </w:font>
  <w:font w:name="仿宋_GB2312">
    <w:panose1 w:val="02010609030101010101"/>
    <w:charset w:val="86"/>
    <w:family w:val="auto"/>
    <w:pitch w:val="default"/>
    <w:sig w:usb0="00000001" w:usb1="080E0000" w:usb2="00000000" w:usb3="00000000" w:csb0="00040000" w:csb1="00000000"/>
  </w:font>
  <w:font w:name="DejaVu Sans">
    <w:altName w:val="微软雅黑"/>
    <w:panose1 w:val="00000000000000000000"/>
    <w:charset w:val="01"/>
    <w:family w:val="auto"/>
    <w:pitch w:val="default"/>
    <w:sig w:usb0="00000000" w:usb1="00000000" w:usb2="00000000" w:usb3="00000000" w:csb0="00040001" w:csb1="00000000"/>
  </w:font>
  <w:font w:name="微软雅黑">
    <w:panose1 w:val="020B0503020204020204"/>
    <w:charset w:val="86"/>
    <w:family w:val="auto"/>
    <w:pitch w:val="default"/>
    <w:sig w:usb0="80000287" w:usb1="2ACF3C50" w:usb2="00000016" w:usb3="00000000" w:csb0="0004001F" w:csb1="00000000"/>
  </w:font>
  <w:font w:name="方正书宋简体">
    <w:altName w:val="宋体"/>
    <w:panose1 w:val="02010601030101010101"/>
    <w:charset w:val="86"/>
    <w:family w:val="script"/>
    <w:pitch w:val="default"/>
    <w:sig w:usb0="00000000" w:usb1="00000000" w:usb2="00000000" w:usb3="00000000" w:csb0="00040000" w:csb1="00000000"/>
  </w:font>
  <w:font w:name="方正小标宋_GBK">
    <w:altName w:val="微软雅黑"/>
    <w:panose1 w:val="03000509000000000000"/>
    <w:charset w:val="86"/>
    <w:family w:val="script"/>
    <w:pitch w:val="default"/>
    <w:sig w:usb0="00000000" w:usb1="00000000" w:usb2="00000000" w:usb3="00000000" w:csb0="00040000" w:csb1="00000000"/>
  </w:font>
  <w:font w:name="楷体_GB2312">
    <w:altName w:val="楷体"/>
    <w:panose1 w:val="02010609030101010101"/>
    <w:charset w:val="86"/>
    <w:family w:val="auto"/>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monospace">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仿宋">
    <w:panose1 w:val="02010609060101010101"/>
    <w:charset w:val="86"/>
    <w:family w:val="auto"/>
    <w:pitch w:val="default"/>
    <w:sig w:usb0="800002BF" w:usb1="38CF7CFA" w:usb2="00000016" w:usb3="00000000" w:csb0="00040001" w:csb1="00000000"/>
  </w:font>
  <w:font w:name="楷体_GB2312">
    <w:altName w:val="楷体"/>
    <w:panose1 w:val="00000000000000000000"/>
    <w:charset w:val="00"/>
    <w:family w:val="auto"/>
    <w:pitch w:val="default"/>
    <w:sig w:usb0="00000000" w:usb1="00000000" w:usb2="00000000" w:usb3="00000000" w:csb0="00000000" w:csb1="00000000"/>
  </w:font>
  <w:font w:name="方正小标宋简体">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ind w:left="4788" w:leftChars="2280" w:firstLine="6400" w:firstLineChars="2000"/>
      <w:rPr>
        <w:rFonts w:hint="eastAsia" w:eastAsia="仿宋"/>
        <w:sz w:val="32"/>
        <w:szCs w:val="48"/>
        <w:lang w:val="en-US" w:eastAsia="zh-CN"/>
      </w:rPr>
    </w:pPr>
    <w:r>
      <w:rPr>
        <w:sz w:val="32"/>
      </w:rPr>
      <mc:AlternateContent>
        <mc:Choice Requires="wps">
          <w:drawing>
            <wp:anchor distT="0" distB="0" distL="114300" distR="114300" simplePos="0" relativeHeight="251661312" behindDoc="0" locked="0" layoutInCell="1" allowOverlap="1">
              <wp:simplePos x="0" y="0"/>
              <wp:positionH relativeFrom="margin">
                <wp:align>outside</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6"/>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- 1 -</w:t>
                          </w:r>
                          <w:r>
                            <w:rPr>
                              <w:rFonts w:hint="eastAsia" w:ascii="宋体" w:hAnsi="宋体" w:eastAsia="宋体" w:cs="宋体"/>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eXtc4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Hl7XOMQIAAGEEAAAOAAAAAAAAAAEAIAAAAB8BAABkcnMvZTJvRG9jLnhtbFBLBQYA&#10;AAAABgAGAFkBAADCBQAAAAA=&#10;">
              <v:fill on="f" focussize="0,0"/>
              <v:stroke on="f" weight="0.5pt"/>
              <v:imagedata o:title=""/>
              <o:lock v:ext="edit" aspectratio="f"/>
              <v:textbox inset="0mm,0mm,0mm,0mm" style="mso-fit-shape-to-text:t;">
                <w:txbxContent>
                  <w:p>
                    <w:pPr>
                      <w:pStyle w:val="6"/>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- 1 -</w:t>
                    </w:r>
                    <w:r>
                      <w:rPr>
                        <w:rFonts w:hint="eastAsia" w:ascii="宋体" w:hAnsi="宋体" w:eastAsia="宋体" w:cs="宋体"/>
                        <w:sz w:val="28"/>
                        <w:szCs w:val="28"/>
                      </w:rPr>
                      <w:fldChar w:fldCharType="end"/>
                    </w:r>
                  </w:p>
                </w:txbxContent>
              </v:textbox>
            </v:shape>
          </w:pict>
        </mc:Fallback>
      </mc:AlternateContent>
    </w:r>
    <w:r>
      <w:rPr>
        <w:rFonts w:hint="eastAsia" w:eastAsia="仿宋"/>
        <w:sz w:val="32"/>
        <w:szCs w:val="48"/>
        <w:lang w:val="en-US" w:eastAsia="zh-CN"/>
      </w:rPr>
      <w:t xml:space="preserve">  </w:t>
    </w:r>
  </w:p>
  <w:p>
    <w:pPr>
      <w:pStyle w:val="7"/>
      <w:wordWrap w:val="0"/>
      <w:ind w:left="4788" w:leftChars="2280" w:firstLine="6400" w:firstLineChars="2000"/>
      <w:jc w:val="right"/>
      <w:rPr>
        <w:rFonts w:hint="eastAsia" w:ascii="宋体" w:hAnsi="宋体" w:eastAsia="宋体" w:cs="宋体"/>
        <w:b/>
        <w:bCs/>
        <w:color w:val="005192"/>
        <w:sz w:val="28"/>
        <w:szCs w:val="44"/>
        <w:lang w:val="en-US" w:eastAsia="zh-CN"/>
      </w:rPr>
    </w:pPr>
    <w:r>
      <w:rPr>
        <w:sz w:val="32"/>
      </w:rPr>
      <mc:AlternateContent>
        <mc:Choice Requires="wps">
          <w:drawing>
            <wp:anchor distT="0" distB="0" distL="114300" distR="114300" simplePos="0" relativeHeight="251660288" behindDoc="0" locked="0" layoutInCell="1" allowOverlap="1">
              <wp:simplePos x="0" y="0"/>
              <wp:positionH relativeFrom="column">
                <wp:posOffset>0</wp:posOffset>
              </wp:positionH>
              <wp:positionV relativeFrom="paragraph">
                <wp:posOffset>74295</wp:posOffset>
              </wp:positionV>
              <wp:extent cx="5616575" cy="1905"/>
              <wp:effectExtent l="0" t="10795" r="3175" b="15875"/>
              <wp:wrapNone/>
              <wp:docPr id="5" name="直接连接符 5"/>
              <wp:cNvGraphicFramePr/>
              <a:graphic xmlns:a="http://schemas.openxmlformats.org/drawingml/2006/main">
                <a:graphicData uri="http://schemas.microsoft.com/office/word/2010/wordprocessingShape">
                  <wps:wsp>
                    <wps:cNvCnPr/>
                    <wps:spPr>
                      <a:xfrm>
                        <a:off x="0" y="0"/>
                        <a:ext cx="5616575" cy="1905"/>
                      </a:xfrm>
                      <a:prstGeom prst="line">
                        <a:avLst/>
                      </a:prstGeom>
                      <a:ln w="22225">
                        <a:solidFill>
                          <a:srgbClr val="00519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0pt;margin-top:5.85pt;height:0.15pt;width:442.25pt;z-index:251660288;mso-width-relative:page;mso-height-relative:page;" filled="f" stroked="t" coordsize="21600,21600" o:gfxdata="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">
              <v:fill on="f" focussize="0,0"/>
              <v:stroke weight="1.75pt" color="#005192 [3204]" miterlimit="8" joinstyle="miter"/>
              <v:imagedata o:title=""/>
              <o:lock v:ext="edit" aspectratio="f"/>
            </v:line>
          </w:pict>
        </mc:Fallback>
      </mc:AlternateContent>
    </w:r>
    <w:r>
      <w:rPr>
        <w:rFonts w:hint="eastAsia" w:eastAsia="仿宋"/>
        <w:sz w:val="32"/>
        <w:szCs w:val="48"/>
        <w:lang w:val="en-US" w:eastAsia="zh-CN"/>
      </w:rPr>
      <w:t>X</w:t>
    </w:r>
    <w:r>
      <w:rPr>
        <w:rFonts w:hint="eastAsia" w:ascii="宋体" w:hAnsi="宋体" w:eastAsia="宋体" w:cs="宋体"/>
        <w:b/>
        <w:bCs/>
        <w:color w:val="005192"/>
        <w:sz w:val="28"/>
        <w:szCs w:val="44"/>
        <w:lang w:val="en-US" w:eastAsia="zh-CN"/>
      </w:rPr>
      <w:t xml:space="preserve">九江市人民政府规范性文件    </w:t>
    </w:r>
  </w:p>
  <w:p>
    <w:pPr>
      <w:pStyle w:val="7"/>
      <w:wordWrap w:val="0"/>
      <w:ind w:left="4788" w:leftChars="2280" w:firstLine="5622" w:firstLineChars="2000"/>
      <w:jc w:val="right"/>
      <w:rPr>
        <w:rFonts w:hint="eastAsia" w:ascii="宋体" w:hAnsi="宋体" w:eastAsia="宋体" w:cs="宋体"/>
        <w:b/>
        <w:bCs/>
        <w:color w:val="005192"/>
        <w:sz w:val="28"/>
        <w:szCs w:val="44"/>
        <w:lang w:val="en-US" w:eastAsia="zh-CN"/>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keepNext w:val="0"/>
      <w:keepLines w:val="0"/>
      <w:pageBreakBefore w:val="0"/>
      <w:widowControl w:val="0"/>
      <w:kinsoku/>
      <w:wordWrap/>
      <w:overflowPunct/>
      <w:topLinePunct w:val="0"/>
      <w:autoSpaceDE/>
      <w:autoSpaceDN/>
      <w:bidi w:val="0"/>
      <w:adjustRightInd/>
      <w:snapToGrid w:val="0"/>
      <w:textAlignment w:val="center"/>
      <w:rPr>
        <w:rFonts w:hint="eastAsia" w:ascii="宋体" w:hAnsi="宋体" w:eastAsia="宋体" w:cs="宋体"/>
        <w:b/>
        <w:bCs/>
        <w:color w:val="005192"/>
        <w:sz w:val="32"/>
      </w:rPr>
    </w:pPr>
    <w:r>
      <w:rPr>
        <w:rFonts w:hint="eastAsia" w:ascii="宋体" w:hAnsi="宋体" w:eastAsia="宋体" w:cs="宋体"/>
        <w:b/>
        <w:bCs/>
        <w:color w:val="005192"/>
        <w:sz w:val="32"/>
      </w:rPr>
      <mc:AlternateContent>
        <mc:Choice Requires="wps">
          <w:drawing>
            <wp:anchor distT="0" distB="0" distL="114300" distR="114300" simplePos="0" relativeHeight="251659264" behindDoc="0" locked="0" layoutInCell="1" allowOverlap="1">
              <wp:simplePos x="0" y="0"/>
              <wp:positionH relativeFrom="column">
                <wp:posOffset>-3810</wp:posOffset>
              </wp:positionH>
              <wp:positionV relativeFrom="paragraph">
                <wp:posOffset>690245</wp:posOffset>
              </wp:positionV>
              <wp:extent cx="5620385" cy="0"/>
              <wp:effectExtent l="0" t="12700" r="18415" b="15875"/>
              <wp:wrapNone/>
              <wp:docPr id="4" name="直接连接符 4"/>
              <wp:cNvGraphicFramePr/>
              <a:graphic xmlns:a="http://schemas.openxmlformats.org/drawingml/2006/main">
                <a:graphicData uri="http://schemas.microsoft.com/office/word/2010/wordprocessingShape">
                  <wps:wsp>
                    <wps:cNvCnPr/>
                    <wps:spPr>
                      <a:xfrm>
                        <a:off x="4133850" y="864870"/>
                        <a:ext cx="5620385" cy="0"/>
                      </a:xfrm>
                      <a:prstGeom prst="line">
                        <a:avLst/>
                      </a:prstGeom>
                      <a:ln w="22225">
                        <a:solidFill>
                          <a:srgbClr val="00519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0.3pt;margin-top:54.35pt;height:0pt;width:442.55pt;z-index:251659264;mso-width-relative:page;mso-height-relative:page;" filled="f" stroked="t" coordsize="21600,21600" o:gfxdata="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">
              <v:fill on="f" focussize="0,0"/>
              <v:stroke weight="1.75pt" color="#005192 [3204]" miterlimit="8" joinstyle="miter"/>
              <v:imagedata o:title=""/>
              <o:lock v:ext="edit" aspectratio="f"/>
            </v:line>
          </w:pict>
        </mc:Fallback>
      </mc:AlternateContent>
    </w:r>
  </w:p>
  <w:p>
    <w:pPr>
      <w:pStyle w:val="7"/>
      <w:keepNext w:val="0"/>
      <w:keepLines w:val="0"/>
      <w:pageBreakBefore w:val="0"/>
      <w:widowControl w:val="0"/>
      <w:kinsoku/>
      <w:wordWrap/>
      <w:overflowPunct/>
      <w:topLinePunct w:val="0"/>
      <w:autoSpaceDE/>
      <w:autoSpaceDN/>
      <w:bidi w:val="0"/>
      <w:adjustRightInd/>
      <w:snapToGrid w:val="0"/>
      <w:textAlignment w:val="center"/>
      <w:rPr>
        <w:rFonts w:hint="eastAsia" w:ascii="宋体" w:hAnsi="宋体" w:eastAsia="宋体" w:cs="宋体"/>
        <w:b/>
        <w:bCs/>
        <w:color w:val="005192"/>
        <w:sz w:val="32"/>
        <w:szCs w:val="32"/>
        <w:lang w:val="en-US" w:eastAsia="zh-CN"/>
      </w:rPr>
    </w:pPr>
    <w:r>
      <w:rPr>
        <w:rFonts w:hint="eastAsia" w:ascii="宋体" w:hAnsi="宋体" w:eastAsia="宋体" w:cs="宋体"/>
        <w:b/>
        <w:bCs/>
        <w:color w:val="005192"/>
        <w:sz w:val="32"/>
      </w:rPr>
      <w:drawing>
        <wp:inline distT="0" distB="0" distL="114300" distR="114300">
          <wp:extent cx="308610" cy="308610"/>
          <wp:effectExtent l="0" t="0" r="11430" b="11430"/>
          <wp:docPr id="6" name="图片 6" descr="国徽10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国徽1024"/>
                  <pic:cNvPicPr>
                    <a:picLocks noChangeAspect="1"/>
                  </pic:cNvPicPr>
                </pic:nvPicPr>
                <pic:blipFill>
                  <a:blip r:embed="rId1"/>
                  <a:stretch>
                    <a:fillRect/>
                  </a:stretch>
                </pic:blipFill>
                <pic:spPr>
                  <a:xfrm>
                    <a:off x="0" y="0"/>
                    <a:ext cx="308610" cy="308610"/>
                  </a:xfrm>
                  <a:prstGeom prst="rect">
                    <a:avLst/>
                  </a:prstGeom>
                </pic:spPr>
              </pic:pic>
            </a:graphicData>
          </a:graphic>
        </wp:inline>
      </w:drawing>
    </w:r>
    <w:r>
      <w:rPr>
        <w:rFonts w:hint="eastAsia" w:ascii="宋体" w:hAnsi="宋体" w:eastAsia="宋体" w:cs="宋体"/>
        <w:b/>
        <w:bCs/>
        <w:color w:val="005192"/>
        <w:sz w:val="32"/>
        <w:szCs w:val="32"/>
        <w:lang w:val="en-US" w:eastAsia="zh-CN"/>
      </w:rPr>
      <w:t>九江市人民政府规范性文件</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revisionView w:markup="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3"/>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C9011D9"/>
    <w:rsid w:val="019E71BD"/>
    <w:rsid w:val="06A67E67"/>
    <w:rsid w:val="080F63D8"/>
    <w:rsid w:val="09341458"/>
    <w:rsid w:val="152D2DCA"/>
    <w:rsid w:val="1E2061E6"/>
    <w:rsid w:val="22440422"/>
    <w:rsid w:val="246B7AE7"/>
    <w:rsid w:val="30D65D04"/>
    <w:rsid w:val="31A15F24"/>
    <w:rsid w:val="31DF424A"/>
    <w:rsid w:val="38D011F2"/>
    <w:rsid w:val="39A232A0"/>
    <w:rsid w:val="3B5A6BBB"/>
    <w:rsid w:val="3EDA13A6"/>
    <w:rsid w:val="402F7891"/>
    <w:rsid w:val="42F058B7"/>
    <w:rsid w:val="436109F6"/>
    <w:rsid w:val="441A38D4"/>
    <w:rsid w:val="44995AAD"/>
    <w:rsid w:val="4BC77339"/>
    <w:rsid w:val="4C526500"/>
    <w:rsid w:val="4C9236C5"/>
    <w:rsid w:val="4E8B286D"/>
    <w:rsid w:val="52446A29"/>
    <w:rsid w:val="52F46F0B"/>
    <w:rsid w:val="54BE3820"/>
    <w:rsid w:val="55E064E0"/>
    <w:rsid w:val="568D5FD2"/>
    <w:rsid w:val="608816D1"/>
    <w:rsid w:val="67503927"/>
    <w:rsid w:val="6D0E3F22"/>
    <w:rsid w:val="771E2772"/>
    <w:rsid w:val="7C9011D9"/>
    <w:rsid w:val="7DC651C5"/>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uiPriority w:val="0"/>
    <w:pPr>
      <w:widowControl w:val="0"/>
      <w:jc w:val="both"/>
    </w:pPr>
    <w:rPr>
      <w:rFonts w:ascii="Calibri" w:hAnsi="Calibri" w:eastAsia="宋体" w:cs="Times New Roman"/>
      <w:kern w:val="2"/>
      <w:sz w:val="21"/>
      <w:szCs w:val="22"/>
      <w:lang w:val="en-US" w:eastAsia="zh-CN" w:bidi="ar-SA"/>
    </w:rPr>
  </w:style>
  <w:style w:type="character" w:default="1" w:styleId="10">
    <w:name w:val="Default Paragraph Font"/>
    <w:semiHidden/>
    <w:qFormat/>
    <w:uiPriority w:val="0"/>
  </w:style>
  <w:style w:type="table" w:default="1" w:styleId="9">
    <w:name w:val="Normal Table"/>
    <w:semiHidden/>
    <w:qFormat/>
    <w:uiPriority w:val="0"/>
    <w:tblPr>
      <w:tblCellMar>
        <w:top w:w="0" w:type="dxa"/>
        <w:left w:w="108" w:type="dxa"/>
        <w:bottom w:w="0" w:type="dxa"/>
        <w:right w:w="108" w:type="dxa"/>
      </w:tblCellMar>
    </w:tblPr>
  </w:style>
  <w:style w:type="paragraph" w:customStyle="1" w:styleId="2">
    <w:name w:val="FootnoteText"/>
    <w:basedOn w:val="1"/>
    <w:next w:val="3"/>
    <w:qFormat/>
    <w:uiPriority w:val="0"/>
    <w:pPr>
      <w:snapToGrid w:val="0"/>
      <w:jc w:val="left"/>
      <w:textAlignment w:val="baseline"/>
    </w:pPr>
    <w:rPr>
      <w:sz w:val="18"/>
      <w:szCs w:val="18"/>
    </w:rPr>
  </w:style>
  <w:style w:type="paragraph" w:customStyle="1" w:styleId="3">
    <w:name w:val="BodyText1I2"/>
    <w:basedOn w:val="4"/>
    <w:qFormat/>
    <w:uiPriority w:val="0"/>
    <w:pPr>
      <w:ind w:firstLine="420" w:firstLineChars="200"/>
    </w:pPr>
  </w:style>
  <w:style w:type="paragraph" w:customStyle="1" w:styleId="4">
    <w:name w:val="BodyTextIndent"/>
    <w:basedOn w:val="1"/>
    <w:qFormat/>
    <w:uiPriority w:val="0"/>
    <w:pPr>
      <w:ind w:firstLine="630"/>
      <w:textAlignment w:val="baseline"/>
    </w:pPr>
    <w:rPr>
      <w:rFonts w:ascii="仿宋_GB2312" w:eastAsia="仿宋_GB2312"/>
      <w:sz w:val="32"/>
    </w:rPr>
  </w:style>
  <w:style w:type="paragraph" w:styleId="5">
    <w:name w:val="Body Text"/>
    <w:basedOn w:val="1"/>
    <w:qFormat/>
    <w:uiPriority w:val="0"/>
    <w:pPr>
      <w:spacing w:after="120" w:afterLines="0" w:afterAutospacing="0"/>
    </w:pPr>
  </w:style>
  <w:style w:type="paragraph" w:styleId="6">
    <w:name w:val="footer"/>
    <w:basedOn w:val="1"/>
    <w:qFormat/>
    <w:uiPriority w:val="0"/>
    <w:pPr>
      <w:tabs>
        <w:tab w:val="center" w:pos="4153"/>
        <w:tab w:val="right" w:pos="8306"/>
      </w:tabs>
      <w:snapToGrid w:val="0"/>
      <w:jc w:val="left"/>
    </w:pPr>
    <w:rPr>
      <w:sz w:val="18"/>
    </w:rPr>
  </w:style>
  <w:style w:type="paragraph" w:styleId="7">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8">
    <w:name w:val="Normal (Web)"/>
    <w:basedOn w:val="1"/>
    <w:qFormat/>
    <w:uiPriority w:val="0"/>
    <w:pPr>
      <w:spacing w:beforeAutospacing="1" w:afterAutospacing="1"/>
      <w:jc w:val="left"/>
    </w:pPr>
    <w:rPr>
      <w:kern w:val="0"/>
      <w:sz w:val="24"/>
    </w:rPr>
  </w:style>
  <w:style w:type="character" w:styleId="11">
    <w:name w:val="Strong"/>
    <w:basedOn w:val="10"/>
    <w:qFormat/>
    <w:uiPriority w:val="0"/>
    <w:rPr>
      <w:b/>
    </w:rPr>
  </w:style>
  <w:style w:type="character" w:styleId="12">
    <w:name w:val="Hyperlink"/>
    <w:basedOn w:val="10"/>
    <w:uiPriority w:val="0"/>
    <w:rPr>
      <w:color w:val="0000FF"/>
      <w:u w:val="single"/>
    </w:rPr>
  </w:style>
  <w:style w:type="paragraph" w:customStyle="1" w:styleId="13">
    <w:name w:val="一级标题（二号小标宋）"/>
    <w:basedOn w:val="1"/>
    <w:qFormat/>
    <w:uiPriority w:val="0"/>
    <w:pPr>
      <w:jc w:val="center"/>
    </w:pPr>
    <w:rPr>
      <w:rFonts w:ascii="方正书宋简体" w:hAnsi="方正书宋简体" w:eastAsia="方正小标宋_GBK"/>
      <w:color w:val="000000"/>
      <w:sz w:val="42"/>
      <w:szCs w:val="42"/>
    </w:rPr>
  </w:style>
  <w:style w:type="paragraph" w:customStyle="1" w:styleId="14">
    <w:name w:val="15.5楷体（标题下楷体）"/>
    <w:basedOn w:val="1"/>
    <w:qFormat/>
    <w:uiPriority w:val="0"/>
    <w:pPr>
      <w:spacing w:before="105"/>
      <w:ind w:firstLine="200" w:firstLineChars="200"/>
      <w:jc w:val="center"/>
    </w:pPr>
    <w:rPr>
      <w:rFonts w:ascii="方正书宋简体" w:hAnsi="方正书宋简体" w:eastAsia="楷体_GB2312"/>
      <w:color w:val="000000"/>
      <w:sz w:val="31"/>
      <w:szCs w:val="31"/>
    </w:rPr>
  </w:style>
  <w:style w:type="paragraph" w:customStyle="1" w:styleId="15">
    <w:name w:val="UserStyle_0"/>
    <w:basedOn w:val="1"/>
    <w:qFormat/>
    <w:uiPriority w:val="0"/>
    <w:pPr>
      <w:widowControl/>
      <w:textAlignment w:val="baseline"/>
    </w:pPr>
    <w:rPr>
      <w:rFonts w:ascii="Times New Roman" w:hAnsi="Times New Roman"/>
      <w:kern w:val="0"/>
      <w:szCs w:val="21"/>
    </w:rPr>
  </w:style>
  <w:style w:type="paragraph" w:customStyle="1" w:styleId="16">
    <w:name w:val="段"/>
    <w:next w:val="1"/>
    <w:qFormat/>
    <w:uiPriority w:val="0"/>
    <w:pPr>
      <w:autoSpaceDE w:val="0"/>
      <w:autoSpaceDN w:val="0"/>
      <w:adjustRightInd w:val="0"/>
      <w:snapToGrid w:val="0"/>
      <w:spacing w:line="360" w:lineRule="auto"/>
      <w:ind w:firstLine="200" w:firstLineChars="200"/>
      <w:jc w:val="both"/>
    </w:pPr>
    <w:rPr>
      <w:rFonts w:ascii="宋体" w:hAnsi="Times New Roman" w:eastAsia="宋体" w:cs="Times New Roman"/>
      <w:sz w:val="24"/>
      <w:szCs w:val="22"/>
      <w:lang w:val="en-US" w:eastAsia="zh-CN" w:bidi="ar-SA"/>
    </w:rPr>
  </w:style>
  <w:style w:type="character" w:customStyle="1" w:styleId="17">
    <w:name w:val="NormalCharacter"/>
    <w:qFormat/>
    <w:uiPriority w:val="0"/>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18</Pages>
  <Words>7851</Words>
  <Characters>7990</Characters>
  <Lines>0</Lines>
  <Paragraphs>0</Paragraphs>
  <TotalTime>2</TotalTime>
  <ScaleCrop>false</ScaleCrop>
  <LinksUpToDate>false</LinksUpToDate>
  <CharactersWithSpaces>7991</CharactersWithSpaces>
  <Application>WPS Office_11.1.0.11115_F1E327BC-269C-435d-A152-05C5408002CA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2021-09-09T02:41:00Z</dcterms:created>
  <dc:creator>t</dc:creator>
  <cp:lastModifiedBy>瞿悠/JIUJIANG</cp:lastModifiedBy>
  <cp:lastPrinted>2021-09-22T01:19:00Z</cp:lastPrinted>
  <dcterms:modified xsi:type="dcterms:W3CDTF">2021-12-03T02:24:55Z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2052-11.1.0.11115</vt:lpwstr>
  </property>
  <property fmtid="{D5CDD505-2E9C-101B-9397-08002B2CF9AE}" pid="3" name="ICV">
    <vt:lpwstr>7A7DCDD89E5A41EBB8A4E50E5A3781E7</vt:lpwstr>
  </property>
</Properties>
</file>