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spacing w:before="0" w:beforeAutospacing="0" w:after="0" w:afterAutospacing="0" w:line="660" w:lineRule="atLeast"/>
        <w:ind w:left="0" w:right="0"/>
        <w:jc w:val="center"/>
        <w:rPr>
          <w:rFonts w:hint="default" w:ascii="Times New Roman" w:hAnsi="Times New Roman" w:cs="Times New Roman"/>
          <w:sz w:val="21"/>
          <w:szCs w:val="21"/>
        </w:rPr>
      </w:pPr>
      <w:r>
        <w:rPr>
          <w:rFonts w:ascii="方正小标宋简体" w:hAnsi="方正小标宋简体" w:eastAsia="方正小标宋简体" w:cs="方正小标宋简体"/>
          <w:spacing w:val="0"/>
          <w:sz w:val="40"/>
          <w:szCs w:val="40"/>
        </w:rPr>
        <w:br w:type="textWrapping"/>
      </w:r>
      <w:r>
        <w:rPr>
          <w:rFonts w:hint="eastAsia" w:ascii="方正小标宋简体" w:hAnsi="方正小标宋简体" w:eastAsia="方正小标宋简体" w:cs="方正小标宋简体"/>
          <w:spacing w:val="0"/>
          <w:sz w:val="40"/>
          <w:szCs w:val="40"/>
        </w:rPr>
        <w:t>九江市人民政府关于印发九江市知识产权</w:t>
      </w:r>
    </w:p>
    <w:p>
      <w:pPr>
        <w:pStyle w:val="9"/>
        <w:keepNext w:val="0"/>
        <w:keepLines w:val="0"/>
        <w:widowControl/>
        <w:suppressLineNumbers w:val="0"/>
        <w:spacing w:before="0" w:beforeAutospacing="0" w:after="0" w:afterAutospacing="0" w:line="660" w:lineRule="atLeast"/>
        <w:ind w:left="0" w:right="0"/>
        <w:jc w:val="center"/>
        <w:rPr>
          <w:rFonts w:hint="default" w:ascii="Times New Roman" w:hAnsi="Times New Roman" w:cs="Times New Roman"/>
          <w:sz w:val="21"/>
          <w:szCs w:val="21"/>
        </w:rPr>
      </w:pPr>
      <w:r>
        <w:rPr>
          <w:rFonts w:hint="eastAsia" w:ascii="方正小标宋简体" w:hAnsi="方正小标宋简体" w:eastAsia="方正小标宋简体" w:cs="方正小标宋简体"/>
          <w:spacing w:val="0"/>
          <w:sz w:val="40"/>
          <w:szCs w:val="40"/>
        </w:rPr>
        <w:t>强市建设实施方案（2022-2035年）的通知</w:t>
      </w:r>
    </w:p>
    <w:p>
      <w:pPr>
        <w:pStyle w:val="9"/>
        <w:keepNext w:val="0"/>
        <w:keepLines w:val="0"/>
        <w:widowControl/>
        <w:suppressLineNumbers w:val="0"/>
        <w:spacing w:before="0" w:beforeAutospacing="0" w:after="0" w:afterAutospacing="0" w:line="435" w:lineRule="atLeast"/>
        <w:ind w:left="0" w:right="0" w:firstLine="630"/>
        <w:jc w:val="both"/>
        <w:rPr>
          <w:rFonts w:ascii="仿宋_GB2312" w:hAnsi="Times New Roman" w:eastAsia="仿宋_GB2312" w:cs="仿宋_GB2312"/>
          <w:spacing w:val="0"/>
          <w:sz w:val="30"/>
          <w:szCs w:val="30"/>
        </w:rPr>
      </w:pPr>
    </w:p>
    <w:p>
      <w:pPr>
        <w:pStyle w:val="9"/>
        <w:keepNext w:val="0"/>
        <w:keepLines w:val="0"/>
        <w:widowControl/>
        <w:suppressLineNumbers w:val="0"/>
        <w:spacing w:before="0" w:beforeAutospacing="0" w:after="0" w:afterAutospacing="0" w:line="435" w:lineRule="atLeast"/>
        <w:ind w:right="0"/>
        <w:jc w:val="center"/>
        <w:rPr>
          <w:rFonts w:ascii="仿宋_GB2312" w:hAnsi="Times New Roman" w:eastAsia="仿宋_GB2312" w:cs="仿宋_GB2312"/>
          <w:spacing w:val="0"/>
          <w:sz w:val="30"/>
          <w:szCs w:val="30"/>
        </w:rPr>
      </w:pPr>
      <w:r>
        <w:rPr>
          <w:rFonts w:hint="eastAsia" w:ascii="仿宋_GB2312" w:hAnsi="Times New Roman" w:eastAsia="仿宋_GB2312" w:cs="仿宋_GB2312"/>
          <w:spacing w:val="0"/>
          <w:sz w:val="30"/>
          <w:szCs w:val="30"/>
        </w:rPr>
        <w:t>2023年8月24日经市政府同意，现予发布实施。</w:t>
      </w:r>
    </w:p>
    <w:p>
      <w:pPr>
        <w:pStyle w:val="9"/>
        <w:keepNext w:val="0"/>
        <w:keepLines w:val="0"/>
        <w:widowControl/>
        <w:suppressLineNumbers w:val="0"/>
        <w:spacing w:before="0" w:beforeAutospacing="0" w:after="0" w:afterAutospacing="0" w:line="435" w:lineRule="atLeast"/>
        <w:ind w:left="0" w:right="0" w:firstLine="630"/>
        <w:jc w:val="both"/>
        <w:rPr>
          <w:rFonts w:hint="default" w:ascii="仿宋_GB2312" w:hAnsi="Times New Roman" w:eastAsia="仿宋_GB2312" w:cs="仿宋_GB2312"/>
          <w:spacing w:val="0"/>
          <w:sz w:val="30"/>
          <w:szCs w:val="30"/>
        </w:rPr>
      </w:pPr>
    </w:p>
    <w:p>
      <w:pPr>
        <w:pStyle w:val="9"/>
        <w:keepNext w:val="0"/>
        <w:keepLines w:val="0"/>
        <w:widowControl/>
        <w:suppressLineNumbers w:val="0"/>
        <w:spacing w:before="0" w:beforeAutospacing="0" w:after="0" w:afterAutospacing="0" w:line="555"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spacing w:val="0"/>
          <w:sz w:val="30"/>
          <w:szCs w:val="30"/>
        </w:rPr>
        <w:t>各县（市、区）人民政府，市政府有关部门，市直及驻市有关单位：</w:t>
      </w:r>
    </w:p>
    <w:p>
      <w:pPr>
        <w:pStyle w:val="9"/>
        <w:keepNext w:val="0"/>
        <w:keepLines w:val="0"/>
        <w:widowControl/>
        <w:suppressLineNumbers w:val="0"/>
        <w:spacing w:before="0" w:beforeAutospacing="0" w:after="0" w:afterAutospacing="0" w:line="555" w:lineRule="atLeast"/>
        <w:ind w:left="0" w:right="0" w:firstLine="630"/>
        <w:jc w:val="both"/>
        <w:rPr>
          <w:rFonts w:hint="default" w:ascii="Times New Roman" w:hAnsi="Times New Roman" w:cs="Times New Roman"/>
          <w:sz w:val="21"/>
          <w:szCs w:val="21"/>
        </w:rPr>
      </w:pPr>
      <w:r>
        <w:rPr>
          <w:rFonts w:hint="eastAsia" w:ascii="仿宋_GB2312" w:hAnsi="Times New Roman" w:eastAsia="仿宋_GB2312" w:cs="仿宋_GB2312"/>
          <w:spacing w:val="0"/>
          <w:sz w:val="30"/>
          <w:szCs w:val="30"/>
        </w:rPr>
        <w:t>《九江市知识产权强市建设实施方案（2022-2035年）》已经市政府第29次常务会议审议通过，现印发给你们，请认真抓好贯彻落实。</w:t>
      </w:r>
    </w:p>
    <w:p>
      <w:pPr>
        <w:pStyle w:val="9"/>
        <w:keepNext w:val="0"/>
        <w:keepLines w:val="0"/>
        <w:widowControl/>
        <w:suppressLineNumbers w:val="0"/>
        <w:spacing w:before="0" w:beforeAutospacing="0" w:after="0" w:afterAutospacing="0" w:line="555" w:lineRule="atLeast"/>
        <w:ind w:left="0" w:right="0" w:firstLine="630"/>
        <w:jc w:val="both"/>
        <w:rPr>
          <w:rFonts w:hint="default" w:ascii="Times New Roman" w:hAnsi="Times New Roman" w:cs="Times New Roman"/>
          <w:sz w:val="21"/>
          <w:szCs w:val="21"/>
        </w:rPr>
      </w:pPr>
      <w:r>
        <w:rPr>
          <w:rFonts w:hint="eastAsia" w:ascii="仿宋_GB2312" w:hAnsi="Times New Roman" w:eastAsia="仿宋_GB2312" w:cs="仿宋_GB2312"/>
          <w:spacing w:val="0"/>
          <w:sz w:val="30"/>
          <w:szCs w:val="30"/>
        </w:rPr>
        <w:t> </w:t>
      </w:r>
    </w:p>
    <w:p>
      <w:pPr>
        <w:pStyle w:val="9"/>
        <w:keepNext w:val="0"/>
        <w:keepLines w:val="0"/>
        <w:widowControl/>
        <w:suppressLineNumbers w:val="0"/>
        <w:spacing w:before="0" w:beforeAutospacing="0" w:after="0" w:afterAutospacing="0" w:line="555" w:lineRule="atLeast"/>
        <w:ind w:left="0" w:right="0" w:firstLine="630"/>
        <w:jc w:val="both"/>
        <w:rPr>
          <w:rFonts w:hint="default" w:ascii="Times New Roman" w:hAnsi="Times New Roman" w:cs="Times New Roman"/>
          <w:sz w:val="21"/>
          <w:szCs w:val="21"/>
        </w:rPr>
      </w:pPr>
      <w:r>
        <w:rPr>
          <w:rFonts w:hint="eastAsia" w:ascii="仿宋_GB2312" w:hAnsi="Times New Roman" w:eastAsia="仿宋_GB2312" w:cs="仿宋_GB2312"/>
          <w:spacing w:val="0"/>
          <w:sz w:val="30"/>
          <w:szCs w:val="30"/>
        </w:rPr>
        <w:t> </w:t>
      </w:r>
    </w:p>
    <w:p>
      <w:pPr>
        <w:pStyle w:val="9"/>
        <w:keepNext w:val="0"/>
        <w:keepLines w:val="0"/>
        <w:widowControl/>
        <w:suppressLineNumbers w:val="0"/>
        <w:spacing w:before="0" w:beforeAutospacing="0" w:after="0" w:afterAutospacing="0" w:line="555" w:lineRule="atLeast"/>
        <w:ind w:left="0" w:right="0" w:firstLine="630"/>
        <w:jc w:val="both"/>
        <w:rPr>
          <w:rFonts w:hint="default" w:ascii="Times New Roman" w:hAnsi="Times New Roman" w:cs="Times New Roman"/>
          <w:sz w:val="21"/>
          <w:szCs w:val="21"/>
        </w:rPr>
      </w:pPr>
      <w:r>
        <w:rPr>
          <w:rFonts w:hint="eastAsia" w:ascii="仿宋_GB2312" w:hAnsi="Times New Roman" w:eastAsia="仿宋_GB2312" w:cs="仿宋_GB2312"/>
          <w:spacing w:val="0"/>
          <w:sz w:val="30"/>
          <w:szCs w:val="30"/>
        </w:rPr>
        <w:t> </w:t>
      </w:r>
    </w:p>
    <w:p>
      <w:pPr>
        <w:pStyle w:val="9"/>
        <w:keepNext w:val="0"/>
        <w:keepLines w:val="0"/>
        <w:widowControl/>
        <w:suppressLineNumbers w:val="0"/>
        <w:spacing w:before="0" w:beforeAutospacing="0" w:after="0" w:afterAutospacing="0" w:line="300" w:lineRule="atLeast"/>
        <w:ind w:left="0" w:right="0"/>
        <w:rPr>
          <w:rFonts w:hint="default" w:ascii="Times New Roman" w:hAnsi="Times New Roman" w:cs="Times New Roman"/>
          <w:sz w:val="18"/>
          <w:szCs w:val="18"/>
        </w:rPr>
      </w:pPr>
      <w:r>
        <w:rPr>
          <w:rFonts w:hint="eastAsia" w:ascii="仿宋_GB2312" w:hAnsi="Times New Roman" w:eastAsia="仿宋_GB2312" w:cs="仿宋_GB2312"/>
          <w:spacing w:val="0"/>
          <w:sz w:val="30"/>
          <w:szCs w:val="30"/>
        </w:rPr>
        <w:t> </w:t>
      </w:r>
    </w:p>
    <w:p>
      <w:pPr>
        <w:pStyle w:val="9"/>
        <w:keepNext w:val="0"/>
        <w:keepLines w:val="0"/>
        <w:widowControl/>
        <w:suppressLineNumbers w:val="0"/>
        <w:spacing w:before="0" w:beforeAutospacing="0" w:after="0" w:afterAutospacing="0" w:line="555" w:lineRule="atLeast"/>
        <w:ind w:left="0" w:right="1185" w:firstLine="630"/>
        <w:jc w:val="right"/>
        <w:rPr>
          <w:rFonts w:hint="default" w:ascii="Times New Roman" w:hAnsi="Times New Roman" w:cs="Times New Roman"/>
          <w:sz w:val="21"/>
          <w:szCs w:val="21"/>
        </w:rPr>
      </w:pPr>
      <w:r>
        <w:rPr>
          <w:rFonts w:hint="eastAsia" w:ascii="仿宋_GB2312" w:hAnsi="Times New Roman" w:eastAsia="仿宋_GB2312" w:cs="仿宋_GB2312"/>
          <w:spacing w:val="0"/>
          <w:sz w:val="30"/>
          <w:szCs w:val="30"/>
        </w:rPr>
        <w:t>            2023年8月24日</w:t>
      </w:r>
    </w:p>
    <w:p>
      <w:pPr>
        <w:pStyle w:val="9"/>
        <w:keepNext w:val="0"/>
        <w:keepLines w:val="0"/>
        <w:widowControl/>
        <w:suppressLineNumbers w:val="0"/>
        <w:spacing w:before="0" w:beforeAutospacing="0" w:after="0" w:afterAutospacing="0" w:line="555" w:lineRule="atLeast"/>
        <w:ind w:left="0" w:right="0"/>
        <w:jc w:val="both"/>
        <w:rPr>
          <w:rFonts w:hint="eastAsia" w:ascii="仿宋_GB2312" w:hAnsi="Times New Roman" w:eastAsia="仿宋_GB2312" w:cs="仿宋_GB2312"/>
          <w:spacing w:val="0"/>
          <w:sz w:val="30"/>
          <w:szCs w:val="30"/>
        </w:rPr>
      </w:pPr>
      <w:r>
        <w:rPr>
          <w:rFonts w:hint="eastAsia" w:ascii="仿宋_GB2312" w:hAnsi="Times New Roman" w:eastAsia="仿宋_GB2312" w:cs="仿宋_GB2312"/>
          <w:spacing w:val="0"/>
          <w:sz w:val="30"/>
          <w:szCs w:val="30"/>
        </w:rPr>
        <w:t>   （此件主动公开）</w:t>
      </w:r>
    </w:p>
    <w:p>
      <w:pPr>
        <w:pStyle w:val="9"/>
        <w:keepNext w:val="0"/>
        <w:keepLines w:val="0"/>
        <w:widowControl/>
        <w:suppressLineNumbers w:val="0"/>
        <w:spacing w:before="0" w:beforeAutospacing="0" w:after="0" w:afterAutospacing="0" w:line="555" w:lineRule="atLeast"/>
        <w:ind w:left="0" w:right="0"/>
        <w:jc w:val="both"/>
        <w:rPr>
          <w:rFonts w:hint="eastAsia" w:ascii="仿宋_GB2312" w:hAnsi="Times New Roman" w:eastAsia="仿宋_GB2312" w:cs="仿宋_GB2312"/>
          <w:spacing w:val="0"/>
          <w:sz w:val="30"/>
          <w:szCs w:val="30"/>
        </w:rPr>
      </w:pPr>
    </w:p>
    <w:p>
      <w:pPr>
        <w:pStyle w:val="9"/>
        <w:keepNext w:val="0"/>
        <w:keepLines w:val="0"/>
        <w:widowControl/>
        <w:suppressLineNumbers w:val="0"/>
        <w:spacing w:before="0" w:beforeAutospacing="0" w:after="0" w:afterAutospacing="0" w:line="555" w:lineRule="atLeast"/>
        <w:ind w:left="0" w:right="0"/>
        <w:jc w:val="both"/>
        <w:rPr>
          <w:rFonts w:hint="eastAsia" w:ascii="仿宋_GB2312" w:hAnsi="Times New Roman" w:eastAsia="仿宋_GB2312" w:cs="仿宋_GB2312"/>
          <w:spacing w:val="0"/>
          <w:sz w:val="30"/>
          <w:szCs w:val="30"/>
        </w:rPr>
      </w:pPr>
    </w:p>
    <w:p>
      <w:pPr>
        <w:pStyle w:val="9"/>
        <w:keepNext w:val="0"/>
        <w:keepLines w:val="0"/>
        <w:widowControl/>
        <w:suppressLineNumbers w:val="0"/>
        <w:spacing w:before="0" w:beforeAutospacing="0" w:after="0" w:afterAutospacing="0" w:line="555" w:lineRule="atLeast"/>
        <w:ind w:left="0" w:right="0"/>
        <w:jc w:val="both"/>
        <w:rPr>
          <w:rFonts w:hint="eastAsia" w:ascii="仿宋_GB2312" w:hAnsi="Times New Roman" w:eastAsia="仿宋_GB2312" w:cs="仿宋_GB2312"/>
          <w:spacing w:val="0"/>
          <w:sz w:val="30"/>
          <w:szCs w:val="30"/>
        </w:rPr>
      </w:pPr>
    </w:p>
    <w:p>
      <w:pPr>
        <w:pStyle w:val="9"/>
        <w:keepNext w:val="0"/>
        <w:keepLines w:val="0"/>
        <w:widowControl/>
        <w:suppressLineNumbers w:val="0"/>
        <w:spacing w:before="0" w:beforeAutospacing="0" w:after="0" w:afterAutospacing="0" w:line="555" w:lineRule="atLeast"/>
        <w:ind w:left="0" w:right="0"/>
        <w:jc w:val="both"/>
        <w:rPr>
          <w:rFonts w:hint="default" w:ascii="仿宋_GB2312" w:hAnsi="Times New Roman" w:eastAsia="仿宋_GB2312" w:cs="仿宋_GB2312"/>
          <w:spacing w:val="0"/>
          <w:sz w:val="30"/>
          <w:szCs w:val="30"/>
        </w:rPr>
      </w:pPr>
      <w:bookmarkStart w:id="0" w:name="_GoBack"/>
      <w:bookmarkEnd w:id="0"/>
    </w:p>
    <w:p>
      <w:pPr>
        <w:pStyle w:val="9"/>
        <w:keepNext w:val="0"/>
        <w:keepLines w:val="0"/>
        <w:widowControl/>
        <w:suppressLineNumbers w:val="0"/>
        <w:spacing w:before="0" w:beforeAutospacing="0" w:after="0" w:afterAutospacing="0" w:line="555" w:lineRule="atLeast"/>
        <w:ind w:left="0" w:right="0"/>
        <w:jc w:val="center"/>
        <w:rPr>
          <w:rFonts w:hint="default" w:ascii="Times New Roman" w:hAnsi="Times New Roman" w:cs="Times New Roman"/>
          <w:sz w:val="21"/>
          <w:szCs w:val="21"/>
        </w:rPr>
      </w:pPr>
      <w:r>
        <w:rPr>
          <w:rFonts w:hint="eastAsia" w:ascii="方正小标宋简体" w:hAnsi="方正小标宋简体" w:eastAsia="方正小标宋简体" w:cs="方正小标宋简体"/>
          <w:spacing w:val="0"/>
          <w:sz w:val="40"/>
          <w:szCs w:val="40"/>
        </w:rPr>
        <w:t>九江市知识产权强市建设实施方案</w:t>
      </w:r>
    </w:p>
    <w:p>
      <w:pPr>
        <w:pStyle w:val="9"/>
        <w:keepNext w:val="0"/>
        <w:keepLines w:val="0"/>
        <w:widowControl/>
        <w:suppressLineNumbers w:val="0"/>
        <w:spacing w:before="0" w:beforeAutospacing="0" w:after="0" w:afterAutospacing="0" w:line="555" w:lineRule="atLeast"/>
        <w:ind w:left="0" w:right="0"/>
        <w:jc w:val="center"/>
        <w:rPr>
          <w:rFonts w:hint="default" w:ascii="Times New Roman" w:hAnsi="Times New Roman" w:cs="Times New Roman"/>
          <w:sz w:val="21"/>
          <w:szCs w:val="21"/>
        </w:rPr>
      </w:pPr>
      <w:r>
        <w:rPr>
          <w:rFonts w:hint="eastAsia" w:ascii="方正小标宋简体" w:hAnsi="方正小标宋简体" w:eastAsia="方正小标宋简体" w:cs="方正小标宋简体"/>
          <w:spacing w:val="0"/>
          <w:sz w:val="40"/>
          <w:szCs w:val="40"/>
        </w:rPr>
        <w:t>（2022-2035年）</w:t>
      </w:r>
    </w:p>
    <w:p>
      <w:pPr>
        <w:pStyle w:val="9"/>
        <w:keepNext w:val="0"/>
        <w:keepLines w:val="0"/>
        <w:widowControl/>
        <w:suppressLineNumbers w:val="0"/>
        <w:spacing w:line="555" w:lineRule="atLeast"/>
        <w:ind w:left="0" w:firstLine="630"/>
        <w:jc w:val="both"/>
        <w:rPr>
          <w:rFonts w:hint="default" w:ascii="Times New Roman" w:hAnsi="Times New Roman" w:cs="Times New Roman"/>
          <w:sz w:val="21"/>
          <w:szCs w:val="21"/>
        </w:rPr>
      </w:pPr>
      <w:r>
        <w:rPr>
          <w:rFonts w:hint="eastAsia" w:ascii="仿宋_GB2312" w:hAnsi="Times New Roman" w:eastAsia="仿宋_GB2312" w:cs="仿宋_GB2312"/>
          <w:spacing w:val="0"/>
          <w:sz w:val="30"/>
          <w:szCs w:val="30"/>
        </w:rPr>
        <w:t> </w:t>
      </w:r>
    </w:p>
    <w:p>
      <w:pPr>
        <w:pStyle w:val="9"/>
        <w:keepNext w:val="0"/>
        <w:keepLines w:val="0"/>
        <w:widowControl/>
        <w:suppressLineNumbers w:val="0"/>
        <w:spacing w:line="555" w:lineRule="atLeast"/>
        <w:ind w:left="0" w:firstLine="630"/>
        <w:jc w:val="both"/>
        <w:rPr>
          <w:rFonts w:hint="default" w:ascii="Times New Roman" w:hAnsi="Times New Roman" w:cs="Times New Roman"/>
          <w:sz w:val="21"/>
          <w:szCs w:val="21"/>
        </w:rPr>
      </w:pPr>
      <w:r>
        <w:rPr>
          <w:rFonts w:hint="eastAsia" w:ascii="仿宋_GB2312" w:hAnsi="Times New Roman" w:eastAsia="仿宋_GB2312" w:cs="仿宋_GB2312"/>
          <w:spacing w:val="0"/>
          <w:sz w:val="30"/>
          <w:szCs w:val="30"/>
        </w:rPr>
        <w:t>为深入贯彻习近平总书记关于知识产权工作的重要指示精神，认真落实中央、省关于知识产权工作的决策部署，根据《中共江西省委、江西省人民政府印发&lt;关于加强知识产权强省建设的行动方案（2022-2035年）&gt;的通知》（赣发〔2022〕20号）要求，按照《九江市国民经济和社会发展第十四个五年规划和二〇三五年远景目标纲要》工作部署，制定本方案。</w:t>
      </w:r>
    </w:p>
    <w:p>
      <w:pPr>
        <w:pStyle w:val="9"/>
        <w:keepNext w:val="0"/>
        <w:keepLines w:val="0"/>
        <w:widowControl/>
        <w:suppressLineNumbers w:val="0"/>
        <w:spacing w:line="555" w:lineRule="atLeast"/>
        <w:ind w:left="0" w:firstLine="630"/>
        <w:jc w:val="both"/>
        <w:rPr>
          <w:rFonts w:hint="default" w:ascii="Times New Roman" w:hAnsi="Times New Roman" w:cs="Times New Roman"/>
          <w:sz w:val="21"/>
          <w:szCs w:val="21"/>
        </w:rPr>
      </w:pPr>
      <w:r>
        <w:rPr>
          <w:rFonts w:ascii="黑体" w:hAnsi="宋体" w:eastAsia="黑体" w:cs="黑体"/>
          <w:spacing w:val="0"/>
          <w:sz w:val="30"/>
          <w:szCs w:val="30"/>
        </w:rPr>
        <w:t>一、指导思想</w:t>
      </w:r>
    </w:p>
    <w:p>
      <w:pPr>
        <w:pStyle w:val="9"/>
        <w:keepNext w:val="0"/>
        <w:keepLines w:val="0"/>
        <w:widowControl/>
        <w:suppressLineNumbers w:val="0"/>
        <w:spacing w:line="555" w:lineRule="atLeast"/>
        <w:ind w:left="0" w:firstLine="630"/>
        <w:jc w:val="both"/>
        <w:rPr>
          <w:rFonts w:hint="default" w:ascii="Times New Roman" w:hAnsi="Times New Roman" w:cs="Times New Roman"/>
          <w:sz w:val="21"/>
          <w:szCs w:val="21"/>
        </w:rPr>
      </w:pPr>
      <w:r>
        <w:rPr>
          <w:rFonts w:hint="eastAsia" w:ascii="仿宋_GB2312" w:hAnsi="Times New Roman" w:eastAsia="仿宋_GB2312" w:cs="仿宋_GB2312"/>
          <w:spacing w:val="0"/>
          <w:sz w:val="30"/>
          <w:szCs w:val="30"/>
        </w:rPr>
        <w:t>坚持以习近平新时代中国特色社会主义思想为指导，全面贯彻党的二十大精神，深入贯彻落实习近平总书记视察江西重要讲话精神，聚焦“作示范、勇争先”的目标要求，立足新发展阶段、贯彻新发展理念、融入新发展格局，打通知识产权创造、运用、保护管理和服务全链条，为九江高标准建设长江经济带重要节点城市提供坚实保障。</w:t>
      </w:r>
    </w:p>
    <w:p>
      <w:pPr>
        <w:pStyle w:val="9"/>
        <w:keepNext w:val="0"/>
        <w:keepLines w:val="0"/>
        <w:widowControl/>
        <w:suppressLineNumbers w:val="0"/>
        <w:spacing w:line="555" w:lineRule="atLeast"/>
        <w:ind w:left="0" w:firstLine="630"/>
        <w:jc w:val="both"/>
        <w:rPr>
          <w:rFonts w:hint="default" w:ascii="Times New Roman" w:hAnsi="Times New Roman" w:cs="Times New Roman"/>
          <w:sz w:val="21"/>
          <w:szCs w:val="21"/>
        </w:rPr>
      </w:pPr>
      <w:r>
        <w:rPr>
          <w:rFonts w:hint="eastAsia" w:ascii="黑体" w:hAnsi="宋体" w:eastAsia="黑体" w:cs="黑体"/>
          <w:spacing w:val="0"/>
          <w:sz w:val="30"/>
          <w:szCs w:val="30"/>
        </w:rPr>
        <w:t>二、主要目标</w:t>
      </w:r>
    </w:p>
    <w:p>
      <w:pPr>
        <w:pStyle w:val="9"/>
        <w:keepNext w:val="0"/>
        <w:keepLines w:val="0"/>
        <w:widowControl/>
        <w:suppressLineNumbers w:val="0"/>
        <w:spacing w:line="555" w:lineRule="atLeast"/>
        <w:ind w:left="0" w:firstLine="630"/>
        <w:jc w:val="both"/>
        <w:rPr>
          <w:rFonts w:hint="default" w:ascii="Times New Roman" w:hAnsi="Times New Roman" w:cs="Times New Roman"/>
          <w:sz w:val="21"/>
          <w:szCs w:val="21"/>
        </w:rPr>
      </w:pPr>
      <w:r>
        <w:rPr>
          <w:rFonts w:hint="eastAsia" w:ascii="仿宋_GB2312" w:hAnsi="Times New Roman" w:eastAsia="仿宋_GB2312" w:cs="仿宋_GB2312"/>
          <w:spacing w:val="0"/>
          <w:sz w:val="30"/>
          <w:szCs w:val="30"/>
        </w:rPr>
        <w:t>到2025年，全市知识产权战略位势和发展能级有效提升，知识产权支撑引领经济发展能力显著增强，每万人有效发明专利拥有量达到6.2件，每万人高价值发明专利拥有量达到1.97件，商标有效注册量突破8.2万件，地理标志达到26件。年度知识产权质押融资金额达到13亿元。知识产权保护机制更加健全，法律、行政、技术等知识产权综合保护手段更加强化，严保护、大保护、快保护、同保护工作格局基本建成，贯彻知识产权管理规范标准的企业达到100家。</w:t>
      </w:r>
    </w:p>
    <w:p>
      <w:pPr>
        <w:pStyle w:val="9"/>
        <w:keepNext w:val="0"/>
        <w:keepLines w:val="0"/>
        <w:widowControl/>
        <w:suppressLineNumbers w:val="0"/>
        <w:spacing w:line="555" w:lineRule="atLeast"/>
        <w:ind w:left="0" w:firstLine="630"/>
        <w:jc w:val="both"/>
        <w:rPr>
          <w:rFonts w:hint="default" w:ascii="Times New Roman" w:hAnsi="Times New Roman" w:cs="Times New Roman"/>
          <w:sz w:val="21"/>
          <w:szCs w:val="21"/>
        </w:rPr>
      </w:pPr>
      <w:r>
        <w:rPr>
          <w:rFonts w:hint="eastAsia" w:ascii="仿宋_GB2312" w:hAnsi="Times New Roman" w:eastAsia="仿宋_GB2312" w:cs="仿宋_GB2312"/>
          <w:spacing w:val="0"/>
          <w:sz w:val="30"/>
          <w:szCs w:val="30"/>
        </w:rPr>
        <w:t>到2035年，全市知识产权制度体系更加完善，管理方式更加科学，激励创新创业作用更加凸显，知识产权创造、运用、保护、管理和服务水平位居全省前列，具有九江特色、全省一流水平的知识产权强市基本建成。</w:t>
      </w:r>
    </w:p>
    <w:p>
      <w:pPr>
        <w:pStyle w:val="9"/>
        <w:keepNext w:val="0"/>
        <w:keepLines w:val="0"/>
        <w:widowControl/>
        <w:suppressLineNumbers w:val="0"/>
        <w:spacing w:line="555" w:lineRule="atLeast"/>
        <w:ind w:left="0" w:firstLine="630"/>
        <w:jc w:val="both"/>
        <w:rPr>
          <w:rFonts w:hint="default" w:ascii="Times New Roman" w:hAnsi="Times New Roman" w:cs="Times New Roman"/>
          <w:sz w:val="21"/>
          <w:szCs w:val="21"/>
        </w:rPr>
      </w:pPr>
      <w:r>
        <w:rPr>
          <w:rFonts w:hint="eastAsia" w:ascii="黑体" w:hAnsi="宋体" w:eastAsia="黑体" w:cs="黑体"/>
          <w:spacing w:val="0"/>
          <w:sz w:val="30"/>
          <w:szCs w:val="30"/>
        </w:rPr>
        <w:t>三、重点任务</w:t>
      </w:r>
    </w:p>
    <w:p>
      <w:pPr>
        <w:pStyle w:val="9"/>
        <w:keepNext w:val="0"/>
        <w:keepLines w:val="0"/>
        <w:widowControl/>
        <w:suppressLineNumbers w:val="0"/>
        <w:spacing w:before="0" w:beforeAutospacing="0" w:after="0" w:afterAutospacing="0" w:line="555" w:lineRule="atLeast"/>
        <w:ind w:left="0" w:right="0" w:firstLine="630"/>
        <w:jc w:val="both"/>
        <w:rPr>
          <w:rFonts w:hint="default" w:ascii="Times New Roman" w:hAnsi="Times New Roman" w:cs="Times New Roman"/>
          <w:sz w:val="21"/>
          <w:szCs w:val="21"/>
        </w:rPr>
      </w:pPr>
      <w:r>
        <w:rPr>
          <w:rFonts w:ascii="楷体_GB2312" w:hAnsi="Times New Roman" w:eastAsia="楷体_GB2312" w:cs="楷体_GB2312"/>
          <w:spacing w:val="0"/>
          <w:sz w:val="30"/>
          <w:szCs w:val="30"/>
        </w:rPr>
        <w:t>（一）健全知识产权保护制度。</w:t>
      </w:r>
    </w:p>
    <w:p>
      <w:pPr>
        <w:pStyle w:val="9"/>
        <w:keepNext w:val="0"/>
        <w:keepLines w:val="0"/>
        <w:widowControl/>
        <w:suppressLineNumbers w:val="0"/>
        <w:spacing w:before="0" w:beforeAutospacing="0" w:after="0" w:afterAutospacing="0" w:line="555" w:lineRule="atLeast"/>
        <w:ind w:left="0" w:right="0" w:firstLine="630"/>
        <w:jc w:val="both"/>
        <w:rPr>
          <w:rFonts w:hint="default" w:ascii="Times New Roman" w:hAnsi="Times New Roman" w:cs="Times New Roman"/>
          <w:sz w:val="21"/>
          <w:szCs w:val="21"/>
        </w:rPr>
      </w:pPr>
      <w:r>
        <w:rPr>
          <w:rFonts w:hint="eastAsia" w:ascii="仿宋_GB2312" w:hAnsi="Times New Roman" w:eastAsia="仿宋_GB2312" w:cs="仿宋_GB2312"/>
          <w:spacing w:val="0"/>
          <w:sz w:val="30"/>
          <w:szCs w:val="30"/>
        </w:rPr>
        <w:t>1．加快推进知识产权制度建设和政策引导。围绕建设知识产权强市，加强政府引导，着力推动知识产权激励政策文件制定。积极推行地理标志产品标准，健全专门保护与商标保护相互协调的统一地理标志管理制度。优化完善专利、商标、版权奖励等知识产权创造相关奖励政策。结合</w:t>
      </w:r>
      <w:r>
        <w:rPr>
          <w:rFonts w:hint="eastAsia" w:ascii="仿宋_GB2312" w:hAnsi="Times New Roman" w:eastAsia="仿宋_GB2312" w:cs="仿宋_GB2312"/>
          <w:spacing w:val="0"/>
          <w:sz w:val="30"/>
          <w:szCs w:val="30"/>
          <w:shd w:val="clear" w:fill="FFFFFF"/>
        </w:rPr>
        <w:t>九江全面实施制造业</w:t>
      </w:r>
      <w:r>
        <w:rPr>
          <w:rFonts w:hint="eastAsia" w:ascii="仿宋_GB2312" w:hAnsi="Times New Roman" w:eastAsia="仿宋_GB2312" w:cs="仿宋_GB2312"/>
          <w:spacing w:val="0"/>
          <w:sz w:val="30"/>
          <w:szCs w:val="30"/>
        </w:rPr>
        <w:t>“9610”行动，探索制定针对重点领域、重点行业、重点区域的专项知识产权高质量创造激励政策。鼓励企业积极申报国家和省级知识产权项目，激励高价值知识产权产出。</w:t>
      </w:r>
      <w:r>
        <w:rPr>
          <w:rFonts w:hint="default" w:ascii="楷体_GB2312" w:hAnsi="Times New Roman" w:eastAsia="楷体_GB2312" w:cs="楷体_GB2312"/>
          <w:spacing w:val="0"/>
          <w:sz w:val="30"/>
          <w:szCs w:val="30"/>
        </w:rPr>
        <w:t>（市委宣传部、市委网信中心、市检察院、市教育局、市司法局、市生态环境局、市商务局、市文广新旅局、市卫健委、市市场监督管理局、市林业局、九江海关按职责分工负责）</w:t>
      </w:r>
    </w:p>
    <w:p>
      <w:pPr>
        <w:pStyle w:val="9"/>
        <w:keepNext w:val="0"/>
        <w:keepLines w:val="0"/>
        <w:widowControl/>
        <w:suppressLineNumbers w:val="0"/>
        <w:spacing w:before="0" w:beforeAutospacing="0" w:after="0" w:afterAutospacing="0" w:line="555" w:lineRule="atLeast"/>
        <w:ind w:left="0" w:right="0" w:firstLine="630"/>
        <w:jc w:val="both"/>
        <w:rPr>
          <w:rFonts w:hint="default" w:ascii="Times New Roman" w:hAnsi="Times New Roman" w:cs="Times New Roman"/>
          <w:sz w:val="21"/>
          <w:szCs w:val="21"/>
        </w:rPr>
      </w:pPr>
      <w:r>
        <w:rPr>
          <w:rFonts w:hint="eastAsia" w:ascii="仿宋_GB2312" w:hAnsi="Times New Roman" w:eastAsia="仿宋_GB2312" w:cs="仿宋_GB2312"/>
          <w:spacing w:val="0"/>
          <w:sz w:val="30"/>
          <w:szCs w:val="30"/>
        </w:rPr>
        <w:t>2．构建更加规范完善的管理机制。逐步建立有利于</w:t>
      </w:r>
      <w:r>
        <w:rPr>
          <w:rFonts w:hint="eastAsia" w:ascii="仿宋_GB2312" w:hAnsi="Times New Roman" w:eastAsia="仿宋_GB2312" w:cs="仿宋_GB2312"/>
          <w:spacing w:val="0"/>
          <w:sz w:val="30"/>
          <w:szCs w:val="30"/>
          <w:shd w:val="clear" w:fill="FFFFFF"/>
        </w:rPr>
        <w:t>知识产权高质量发展和激励高价值专利创造的政策体系、指标体系、统计体系和考核体系。加强市县有效衔接和政策协同，</w:t>
      </w:r>
      <w:r>
        <w:rPr>
          <w:rFonts w:hint="eastAsia" w:ascii="仿宋_GB2312" w:hAnsi="Times New Roman" w:eastAsia="仿宋_GB2312" w:cs="仿宋_GB2312"/>
          <w:spacing w:val="0"/>
          <w:sz w:val="30"/>
          <w:szCs w:val="30"/>
        </w:rPr>
        <w:t>构建多层级的更加科学的知识产权管理机制。围绕创建国家知识产权强市建设试点城市，培育一批有地域产业和经济特点的知识产权强县和试点示范园区。深化实施中小企业知识产权战略推进工程。支持帮助企业、高校、科研机构健全知识产权管理体系，完善工作机制，提升知识产权管理水平。推进版权示范创建工作，着力培育国家级和省级版权示范单位、园区（基地）。逐步构建政府监管、社会监督、行业自律、机构自治的知识产权服务业监管机制。</w:t>
      </w:r>
      <w:r>
        <w:rPr>
          <w:rFonts w:hint="default" w:ascii="楷体_GB2312" w:hAnsi="Times New Roman" w:eastAsia="楷体_GB2312" w:cs="楷体_GB2312"/>
          <w:spacing w:val="0"/>
          <w:sz w:val="30"/>
          <w:szCs w:val="30"/>
        </w:rPr>
        <w:t>（市市场监督管理局、市文广新旅局、市工信局、市科技局按职责分工负责）</w:t>
      </w:r>
    </w:p>
    <w:p>
      <w:pPr>
        <w:pStyle w:val="9"/>
        <w:keepNext w:val="0"/>
        <w:keepLines w:val="0"/>
        <w:widowControl/>
        <w:suppressLineNumbers w:val="0"/>
        <w:spacing w:before="0" w:beforeAutospacing="0" w:after="0" w:afterAutospacing="0" w:line="555" w:lineRule="atLeast"/>
        <w:ind w:left="0" w:right="0" w:firstLine="630"/>
        <w:jc w:val="both"/>
        <w:rPr>
          <w:rFonts w:hint="default" w:ascii="Times New Roman" w:hAnsi="Times New Roman" w:cs="Times New Roman"/>
          <w:sz w:val="21"/>
          <w:szCs w:val="21"/>
        </w:rPr>
      </w:pPr>
      <w:r>
        <w:rPr>
          <w:rFonts w:hint="eastAsia" w:ascii="仿宋_GB2312" w:hAnsi="Times New Roman" w:eastAsia="仿宋_GB2312" w:cs="仿宋_GB2312"/>
          <w:spacing w:val="0"/>
          <w:sz w:val="30"/>
          <w:szCs w:val="30"/>
        </w:rPr>
        <w:t>3．健全公正的司法保护机制。强化行刑衔接，全面加强知识产权司法保护，充分发挥知识产权审判职能作用，加强审判基础、体制机制和智慧法院建设。加强知识产权司法资源配置，加强知识产权审判机制建设。强化知识产权民事司法保护，健全民事司法保护体制机制。规范知识产权领域行政执法移送刑事司法规定。深入推进知识产权“三合一”审判机制改革，提高审判质效。</w:t>
      </w:r>
      <w:r>
        <w:rPr>
          <w:rFonts w:hint="default" w:ascii="楷体_GB2312" w:hAnsi="Times New Roman" w:eastAsia="楷体_GB2312" w:cs="楷体_GB2312"/>
          <w:spacing w:val="0"/>
          <w:sz w:val="30"/>
          <w:szCs w:val="30"/>
        </w:rPr>
        <w:t>（市法院、市检察院、市公安局按职责分工负责）</w:t>
      </w:r>
    </w:p>
    <w:p>
      <w:pPr>
        <w:pStyle w:val="9"/>
        <w:keepNext w:val="0"/>
        <w:keepLines w:val="0"/>
        <w:widowControl/>
        <w:suppressLineNumbers w:val="0"/>
        <w:spacing w:before="0" w:beforeAutospacing="0" w:after="0" w:afterAutospacing="0" w:line="555" w:lineRule="atLeast"/>
        <w:ind w:left="0" w:right="0" w:firstLine="630"/>
        <w:jc w:val="both"/>
        <w:rPr>
          <w:rFonts w:hint="default" w:ascii="Times New Roman" w:hAnsi="Times New Roman" w:cs="Times New Roman"/>
          <w:sz w:val="21"/>
          <w:szCs w:val="21"/>
        </w:rPr>
      </w:pPr>
      <w:r>
        <w:rPr>
          <w:rFonts w:hint="eastAsia" w:ascii="仿宋_GB2312" w:hAnsi="Times New Roman" w:eastAsia="仿宋_GB2312" w:cs="仿宋_GB2312"/>
          <w:spacing w:val="0"/>
          <w:sz w:val="30"/>
          <w:szCs w:val="30"/>
        </w:rPr>
        <w:t>4．健全严格的行政保护机制。加强县（市、区）基层保护工作站建设，实现知识产权保护工作站全覆盖。深入开展打击侵犯知识产权和制售假冒伪劣商品执法专项行动，加强电子商务、高新技术、公共利益、民生、展会、实体市场、进出口等重点领域和环节知识产权保护。提升各类侵权假冒行为的联合执法与办案水平，健全跨区域、跨部门知识产权行政保护协作机制。</w:t>
      </w:r>
      <w:r>
        <w:rPr>
          <w:rFonts w:hint="default" w:ascii="楷体_GB2312" w:hAnsi="Times New Roman" w:eastAsia="楷体_GB2312" w:cs="楷体_GB2312"/>
          <w:spacing w:val="0"/>
          <w:sz w:val="30"/>
          <w:szCs w:val="30"/>
        </w:rPr>
        <w:t>（市市场监督管理局、市文广新旅局、市农业农村局、市商务局、九江海关按职责分工负责）</w:t>
      </w:r>
    </w:p>
    <w:p>
      <w:pPr>
        <w:pStyle w:val="9"/>
        <w:keepNext w:val="0"/>
        <w:keepLines w:val="0"/>
        <w:widowControl/>
        <w:suppressLineNumbers w:val="0"/>
        <w:spacing w:before="0" w:beforeAutospacing="0" w:after="0" w:afterAutospacing="0" w:line="555" w:lineRule="atLeast"/>
        <w:ind w:left="0" w:right="0" w:firstLine="630"/>
        <w:jc w:val="both"/>
        <w:rPr>
          <w:rFonts w:hint="default" w:ascii="Times New Roman" w:hAnsi="Times New Roman" w:cs="Times New Roman"/>
          <w:sz w:val="21"/>
          <w:szCs w:val="21"/>
        </w:rPr>
      </w:pPr>
      <w:r>
        <w:rPr>
          <w:rFonts w:hint="eastAsia" w:ascii="仿宋_GB2312" w:hAnsi="Times New Roman" w:eastAsia="仿宋_GB2312" w:cs="仿宋_GB2312"/>
          <w:spacing w:val="0"/>
          <w:sz w:val="30"/>
          <w:szCs w:val="30"/>
        </w:rPr>
        <w:t>5．健全高效的协同保护机制。加强知识产权司法保护、行政保护、仲裁调解、行业自律等协同机制建设，规范行政调解协议司法确认制度，构建更加完善的知识产权维权服务体系。畅通知识产权诉讼与仲裁、调解对接渠道，完善诉讼调解对接、调解仲裁对接、行政执法与调解仲裁对接等工作机制，健全知识产权纠纷在线诉调对接机制，构建市县互通的知识产权维权工作网络。培育和发展知识产权仲裁机构、调解组织，探索律师调解等市场化调解方式。逐步建立完善知识产权仲裁、调解、公证、鉴定和维权援助体系。依托已建立的协作机制，形成知识产权保护更大合力。</w:t>
      </w:r>
      <w:r>
        <w:rPr>
          <w:rFonts w:hint="default" w:ascii="楷体_GB2312" w:hAnsi="Times New Roman" w:eastAsia="楷体_GB2312" w:cs="楷体_GB2312"/>
          <w:spacing w:val="0"/>
          <w:sz w:val="30"/>
          <w:szCs w:val="30"/>
        </w:rPr>
        <w:t>（市法院、市司法局、市文广新旅局、市商务局、市市场监督管理局、九江海关按职责分工负责）</w:t>
      </w:r>
    </w:p>
    <w:p>
      <w:pPr>
        <w:pStyle w:val="9"/>
        <w:keepNext w:val="0"/>
        <w:keepLines w:val="0"/>
        <w:widowControl/>
        <w:suppressLineNumbers w:val="0"/>
        <w:spacing w:before="0" w:beforeAutospacing="0" w:after="0" w:afterAutospacing="0" w:line="555" w:lineRule="atLeast"/>
        <w:ind w:left="0" w:right="0" w:firstLine="630"/>
        <w:jc w:val="both"/>
        <w:rPr>
          <w:rFonts w:hint="default" w:ascii="Times New Roman" w:hAnsi="Times New Roman" w:cs="Times New Roman"/>
          <w:sz w:val="21"/>
          <w:szCs w:val="21"/>
        </w:rPr>
      </w:pPr>
      <w:r>
        <w:rPr>
          <w:rFonts w:hint="default" w:ascii="楷体_GB2312" w:hAnsi="Times New Roman" w:eastAsia="楷体_GB2312" w:cs="楷体_GB2312"/>
          <w:spacing w:val="0"/>
          <w:sz w:val="30"/>
          <w:szCs w:val="30"/>
        </w:rPr>
        <w:t>（二）建设知识产权公共服务体系。</w:t>
      </w:r>
    </w:p>
    <w:p>
      <w:pPr>
        <w:pStyle w:val="9"/>
        <w:keepNext w:val="0"/>
        <w:keepLines w:val="0"/>
        <w:widowControl/>
        <w:suppressLineNumbers w:val="0"/>
        <w:spacing w:before="0" w:beforeAutospacing="0" w:after="0" w:afterAutospacing="0" w:line="555" w:lineRule="atLeast"/>
        <w:ind w:left="0" w:right="0" w:firstLine="630"/>
        <w:jc w:val="both"/>
        <w:rPr>
          <w:rFonts w:hint="default" w:ascii="Times New Roman" w:hAnsi="Times New Roman" w:cs="Times New Roman"/>
          <w:sz w:val="21"/>
          <w:szCs w:val="21"/>
        </w:rPr>
      </w:pPr>
      <w:r>
        <w:rPr>
          <w:rFonts w:hint="eastAsia" w:ascii="仿宋_GB2312" w:hAnsi="Times New Roman" w:eastAsia="仿宋_GB2312" w:cs="仿宋_GB2312"/>
          <w:spacing w:val="0"/>
          <w:sz w:val="30"/>
          <w:szCs w:val="30"/>
        </w:rPr>
        <w:t>6．加强公共服务标准化规范化建设。研究制定加强我市知识产权公共服务体系建设政策，创新服务方式，拓展服务领域，优化服务布局。围绕我市打造9条制造业重点产业链和6个先进制造业产业集群，建设知识产权公共服务平台。明晰知识产权公共服务事项和范围，推广应用知识产权公共服务事项清单。编制公共服务事项清单中有关事项办事指南和服务标准。优化知识产权公共服务网点布局，实现县（市、区）服务网点全覆盖。统筹推进分级分类的知识产权公共服务机构建设，完善“互联网+”知识产权公共服务模式，健全针对中小企业和初创企业的知识产权公共服务机制，提升基础性知识产权公共服务的覆盖面，促进知识产权信息公共服务系统化、模块化和智能化。</w:t>
      </w:r>
      <w:r>
        <w:rPr>
          <w:rFonts w:hint="default" w:ascii="楷体_GB2312" w:hAnsi="Times New Roman" w:eastAsia="楷体_GB2312" w:cs="楷体_GB2312"/>
          <w:spacing w:val="0"/>
          <w:sz w:val="30"/>
          <w:szCs w:val="30"/>
        </w:rPr>
        <w:t>（市市场监督管理局、市科技局、市工信局按职责分工负责）</w:t>
      </w:r>
    </w:p>
    <w:p>
      <w:pPr>
        <w:pStyle w:val="9"/>
        <w:keepNext w:val="0"/>
        <w:keepLines w:val="0"/>
        <w:widowControl/>
        <w:suppressLineNumbers w:val="0"/>
        <w:spacing w:before="0" w:beforeAutospacing="0" w:after="0" w:afterAutospacing="0" w:line="555" w:lineRule="atLeast"/>
        <w:ind w:left="0" w:right="0" w:firstLine="630"/>
        <w:jc w:val="both"/>
        <w:rPr>
          <w:rFonts w:hint="default" w:ascii="Times New Roman" w:hAnsi="Times New Roman" w:cs="Times New Roman"/>
          <w:sz w:val="21"/>
          <w:szCs w:val="21"/>
        </w:rPr>
      </w:pPr>
      <w:r>
        <w:rPr>
          <w:rFonts w:hint="eastAsia" w:ascii="仿宋_GB2312" w:hAnsi="Times New Roman" w:eastAsia="仿宋_GB2312" w:cs="仿宋_GB2312"/>
          <w:spacing w:val="0"/>
          <w:sz w:val="30"/>
          <w:szCs w:val="30"/>
        </w:rPr>
        <w:t>7．加强知识产权运营体系建设。加快推动大数据、云计算、区块链、人工智能等技术在知识产权信息公共服务领域的应用，加强知识产权数据资源供给，实现对各类知识产权数据的智能分析。</w:t>
      </w:r>
      <w:r>
        <w:rPr>
          <w:rFonts w:hint="eastAsia" w:ascii="仿宋_GB2312" w:hAnsi="Times New Roman" w:eastAsia="仿宋_GB2312" w:cs="仿宋_GB2312"/>
          <w:spacing w:val="0"/>
          <w:sz w:val="30"/>
          <w:szCs w:val="30"/>
          <w:shd w:val="clear" w:fill="FFFFFF"/>
        </w:rPr>
        <w:t>加快培育和发展知识产权服务业，提高知识产权代理、法律、信息、咨询等服务水平，发展知识产权分析评议、导航、预警、运营、诉讼应对、价值评估、战略规划等新型知识产权服务业态。探索建立适应数字经济新业态发展需要的知识产权服务模式。</w:t>
      </w:r>
      <w:r>
        <w:rPr>
          <w:rFonts w:hint="default" w:ascii="楷体_GB2312" w:hAnsi="Times New Roman" w:eastAsia="楷体_GB2312" w:cs="楷体_GB2312"/>
          <w:spacing w:val="0"/>
          <w:sz w:val="30"/>
          <w:szCs w:val="30"/>
        </w:rPr>
        <w:t>（市市场监督管理局、市科技局、市工信局按职责分工负责）</w:t>
      </w:r>
    </w:p>
    <w:p>
      <w:pPr>
        <w:pStyle w:val="9"/>
        <w:keepNext w:val="0"/>
        <w:keepLines w:val="0"/>
        <w:widowControl/>
        <w:suppressLineNumbers w:val="0"/>
        <w:spacing w:before="0" w:beforeAutospacing="0" w:after="0" w:afterAutospacing="0" w:line="555" w:lineRule="atLeast"/>
        <w:ind w:left="0" w:right="0" w:firstLine="630"/>
        <w:jc w:val="both"/>
        <w:rPr>
          <w:rFonts w:hint="default" w:ascii="Times New Roman" w:hAnsi="Times New Roman" w:cs="Times New Roman"/>
          <w:sz w:val="21"/>
          <w:szCs w:val="21"/>
        </w:rPr>
      </w:pPr>
      <w:r>
        <w:rPr>
          <w:rFonts w:hint="default" w:ascii="楷体_GB2312" w:hAnsi="Times New Roman" w:eastAsia="楷体_GB2312" w:cs="楷体_GB2312"/>
          <w:spacing w:val="0"/>
          <w:sz w:val="30"/>
          <w:szCs w:val="30"/>
        </w:rPr>
        <w:t>（三）营造知识产权人文社会环境。</w:t>
      </w:r>
    </w:p>
    <w:p>
      <w:pPr>
        <w:pStyle w:val="9"/>
        <w:keepNext w:val="0"/>
        <w:keepLines w:val="0"/>
        <w:widowControl/>
        <w:suppressLineNumbers w:val="0"/>
        <w:spacing w:before="0" w:beforeAutospacing="0" w:after="0" w:afterAutospacing="0" w:line="555" w:lineRule="atLeast"/>
        <w:ind w:left="0" w:right="0" w:firstLine="630"/>
        <w:jc w:val="both"/>
        <w:rPr>
          <w:rFonts w:hint="default" w:ascii="Times New Roman" w:hAnsi="Times New Roman" w:cs="Times New Roman"/>
          <w:sz w:val="21"/>
          <w:szCs w:val="21"/>
        </w:rPr>
      </w:pPr>
      <w:r>
        <w:rPr>
          <w:rFonts w:hint="eastAsia" w:ascii="仿宋_GB2312" w:hAnsi="Times New Roman" w:eastAsia="仿宋_GB2312" w:cs="仿宋_GB2312"/>
          <w:spacing w:val="0"/>
          <w:sz w:val="30"/>
          <w:szCs w:val="30"/>
        </w:rPr>
        <w:t>8．加强知识产权文化宣传。</w:t>
      </w:r>
      <w:r>
        <w:rPr>
          <w:rFonts w:hint="eastAsia" w:ascii="仿宋_GB2312" w:hAnsi="Times New Roman" w:eastAsia="仿宋_GB2312" w:cs="仿宋_GB2312"/>
          <w:spacing w:val="0"/>
          <w:sz w:val="30"/>
          <w:szCs w:val="30"/>
          <w:shd w:val="clear" w:fill="FFFFFF"/>
        </w:rPr>
        <w:t>充分利用世界知识产权日、中国品牌日、中国专利周等重要宣传节点，开展知识产权进市场、进企业、进校园、进乡村等公益宣传活动，使“尊重知识、崇尚创新、诚信守法、公平竞争”的知识产权文化理念深入人心，不断提升全社会知识产权保护意识。围绕</w:t>
      </w:r>
      <w:r>
        <w:rPr>
          <w:rFonts w:hint="eastAsia" w:ascii="仿宋_GB2312" w:hAnsi="Times New Roman" w:eastAsia="仿宋_GB2312" w:cs="仿宋_GB2312"/>
          <w:spacing w:val="0"/>
          <w:sz w:val="30"/>
          <w:szCs w:val="30"/>
        </w:rPr>
        <w:t>知识产权强市建设，打造传统媒体和新兴媒体融合发展的知识产权文化传播平台，拓展社交媒体、短视频、客户端等新媒体渠道。</w:t>
      </w:r>
      <w:r>
        <w:rPr>
          <w:rFonts w:hint="eastAsia" w:ascii="仿宋_GB2312" w:hAnsi="Times New Roman" w:eastAsia="仿宋_GB2312" w:cs="仿宋_GB2312"/>
          <w:spacing w:val="0"/>
          <w:sz w:val="30"/>
          <w:szCs w:val="30"/>
          <w:shd w:val="clear" w:fill="FFFFFF"/>
        </w:rPr>
        <w:t>充分把握知识产权保护与激励科技创新的关系，引领各主体运用知识产权保护机制，激发创新创造活力。通过多种举措和载体塑造知识产权文化理念，让各种创新要素充分涌流、创新活力竞相迸发。</w:t>
      </w:r>
      <w:r>
        <w:rPr>
          <w:rFonts w:hint="default" w:ascii="楷体_GB2312" w:hAnsi="Times New Roman" w:eastAsia="楷体_GB2312" w:cs="楷体_GB2312"/>
          <w:spacing w:val="0"/>
          <w:sz w:val="30"/>
          <w:szCs w:val="30"/>
        </w:rPr>
        <w:t>（市委宣传部、市法院、市检察院、市发改委、市公安局、市司法局、市人社局、市农业农村局、市文广新旅局、市市场监督管理局、九江海关按职责分工负责）</w:t>
      </w:r>
    </w:p>
    <w:p>
      <w:pPr>
        <w:pStyle w:val="9"/>
        <w:keepNext w:val="0"/>
        <w:keepLines w:val="0"/>
        <w:widowControl/>
        <w:suppressLineNumbers w:val="0"/>
        <w:spacing w:before="0" w:beforeAutospacing="0" w:after="0" w:afterAutospacing="0" w:line="555" w:lineRule="atLeast"/>
        <w:ind w:left="0" w:right="0" w:firstLine="630"/>
        <w:jc w:val="both"/>
        <w:rPr>
          <w:rFonts w:hint="default" w:ascii="Times New Roman" w:hAnsi="Times New Roman" w:cs="Times New Roman"/>
          <w:sz w:val="21"/>
          <w:szCs w:val="21"/>
        </w:rPr>
      </w:pPr>
      <w:r>
        <w:rPr>
          <w:rFonts w:hint="eastAsia" w:ascii="仿宋_GB2312" w:hAnsi="Times New Roman" w:eastAsia="仿宋_GB2312" w:cs="仿宋_GB2312"/>
          <w:spacing w:val="0"/>
          <w:sz w:val="30"/>
          <w:szCs w:val="30"/>
        </w:rPr>
        <w:t>9．优化知识产权人才发展环境。</w:t>
      </w:r>
      <w:r>
        <w:rPr>
          <w:rFonts w:hint="eastAsia" w:ascii="仿宋_GB2312" w:hAnsi="Times New Roman" w:eastAsia="仿宋_GB2312" w:cs="仿宋_GB2312"/>
          <w:spacing w:val="0"/>
          <w:sz w:val="30"/>
          <w:szCs w:val="30"/>
          <w:shd w:val="clear" w:fill="FFFFFF"/>
        </w:rPr>
        <w:t>实施知识产权专业人才培养，加大知识产权师、专利代理师等知识产权方面社会人才培养力度，探索推进知识产权人才政策创新，健全人才保障和激励机制，吸引国内外知识产权高端人才落户九江。</w:t>
      </w:r>
      <w:r>
        <w:rPr>
          <w:rFonts w:hint="eastAsia" w:ascii="仿宋_GB2312" w:hAnsi="Times New Roman" w:eastAsia="仿宋_GB2312" w:cs="仿宋_GB2312"/>
          <w:spacing w:val="0"/>
          <w:sz w:val="30"/>
          <w:szCs w:val="30"/>
        </w:rPr>
        <w:t>推进高校知识产权学科建设和知识产权培训基地建设，支持有条件的高校院所设置知识产权二级学科、知识产权专业学位。加强九江市知识产权专家库建设，吸引更多人才加入九江市知识产权专家库，充分发挥专家库作用，不断提升全市知识产权创造、保护及运营水平。</w:t>
      </w:r>
      <w:r>
        <w:rPr>
          <w:rFonts w:hint="default" w:ascii="楷体_GB2312" w:hAnsi="Times New Roman" w:eastAsia="楷体_GB2312" w:cs="楷体_GB2312"/>
          <w:spacing w:val="0"/>
          <w:sz w:val="30"/>
          <w:szCs w:val="30"/>
        </w:rPr>
        <w:t>（市教育局、市人社局、市市场监督管理局按职责分工负责）</w:t>
      </w:r>
    </w:p>
    <w:p>
      <w:pPr>
        <w:pStyle w:val="9"/>
        <w:keepNext w:val="0"/>
        <w:keepLines w:val="0"/>
        <w:widowControl/>
        <w:suppressLineNumbers w:val="0"/>
        <w:spacing w:before="0" w:beforeAutospacing="0" w:after="0" w:afterAutospacing="0" w:line="555" w:lineRule="atLeast"/>
        <w:ind w:left="0" w:right="0" w:firstLine="630"/>
        <w:jc w:val="both"/>
        <w:rPr>
          <w:rFonts w:hint="default" w:ascii="Times New Roman" w:hAnsi="Times New Roman" w:cs="Times New Roman"/>
          <w:sz w:val="21"/>
          <w:szCs w:val="21"/>
        </w:rPr>
      </w:pPr>
      <w:r>
        <w:rPr>
          <w:rFonts w:hint="default" w:ascii="楷体_GB2312" w:hAnsi="Times New Roman" w:eastAsia="楷体_GB2312" w:cs="楷体_GB2312"/>
          <w:spacing w:val="0"/>
          <w:sz w:val="30"/>
          <w:szCs w:val="30"/>
        </w:rPr>
        <w:t>（四）建设知识产权交流合作机制。</w:t>
      </w:r>
    </w:p>
    <w:p>
      <w:pPr>
        <w:pStyle w:val="9"/>
        <w:keepNext w:val="0"/>
        <w:keepLines w:val="0"/>
        <w:widowControl/>
        <w:suppressLineNumbers w:val="0"/>
        <w:spacing w:before="0" w:beforeAutospacing="0" w:after="0" w:afterAutospacing="0" w:line="555" w:lineRule="atLeast"/>
        <w:ind w:left="0" w:right="0" w:firstLine="630"/>
        <w:rPr>
          <w:rFonts w:hint="default" w:ascii="Times New Roman" w:hAnsi="Times New Roman" w:cs="Times New Roman"/>
          <w:sz w:val="21"/>
          <w:szCs w:val="21"/>
        </w:rPr>
      </w:pPr>
      <w:r>
        <w:rPr>
          <w:rFonts w:hint="eastAsia" w:ascii="仿宋_GB2312" w:hAnsi="Times New Roman" w:eastAsia="仿宋_GB2312" w:cs="仿宋_GB2312"/>
          <w:spacing w:val="0"/>
          <w:sz w:val="30"/>
          <w:szCs w:val="30"/>
        </w:rPr>
        <w:t>10．深度参与知识产权国内国际交流合作。积极参与、承办各类知识产权保护交流活动，加强与省内其他城市、长江流域城市在知识产权保护、维权、人才培养、理论与政策研究等各领域的交流与合作。持续深化“咸岳九”知识产权保护合作、加大与黄冈市知识产权保护跨江合作力度。支持企事业单位和社会组织开展知识产权国际合作。加强商标品牌和地理标志产品全球推介，支持企业申报国际专利，推进商标国际注册和保护，加大地理标志互认互保工作落实力度，塑造九江商标品牌良好形象，讲好九江知识产权故事。</w:t>
      </w:r>
      <w:r>
        <w:rPr>
          <w:rFonts w:hint="default" w:ascii="楷体_GB2312" w:hAnsi="Times New Roman" w:eastAsia="楷体_GB2312" w:cs="楷体_GB2312"/>
          <w:spacing w:val="0"/>
          <w:sz w:val="30"/>
          <w:szCs w:val="30"/>
        </w:rPr>
        <w:t>（市知识产权工作领导小组成员单位按职责分工负责）</w:t>
      </w:r>
    </w:p>
    <w:p>
      <w:pPr>
        <w:pStyle w:val="9"/>
        <w:keepNext w:val="0"/>
        <w:keepLines w:val="0"/>
        <w:widowControl/>
        <w:suppressLineNumbers w:val="0"/>
        <w:spacing w:line="555" w:lineRule="atLeast"/>
        <w:ind w:left="0" w:firstLine="630"/>
        <w:jc w:val="both"/>
        <w:rPr>
          <w:rFonts w:hint="default" w:ascii="Times New Roman" w:hAnsi="Times New Roman" w:cs="Times New Roman"/>
          <w:sz w:val="21"/>
          <w:szCs w:val="21"/>
        </w:rPr>
      </w:pPr>
      <w:r>
        <w:rPr>
          <w:rFonts w:hint="eastAsia" w:ascii="黑体" w:hAnsi="宋体" w:eastAsia="黑体" w:cs="黑体"/>
          <w:spacing w:val="0"/>
          <w:sz w:val="30"/>
          <w:szCs w:val="30"/>
        </w:rPr>
        <w:t>四、组织保障</w:t>
      </w:r>
    </w:p>
    <w:p>
      <w:pPr>
        <w:pStyle w:val="9"/>
        <w:keepNext w:val="0"/>
        <w:keepLines w:val="0"/>
        <w:widowControl/>
        <w:suppressLineNumbers w:val="0"/>
        <w:spacing w:line="555" w:lineRule="atLeast"/>
        <w:ind w:left="0" w:firstLine="630"/>
        <w:jc w:val="both"/>
        <w:rPr>
          <w:rFonts w:hint="default" w:ascii="Times New Roman" w:hAnsi="Times New Roman" w:cs="Times New Roman"/>
          <w:sz w:val="21"/>
          <w:szCs w:val="21"/>
        </w:rPr>
      </w:pPr>
      <w:r>
        <w:rPr>
          <w:rFonts w:hint="default" w:ascii="楷体_GB2312" w:hAnsi="Times New Roman" w:eastAsia="楷体_GB2312" w:cs="楷体_GB2312"/>
          <w:spacing w:val="0"/>
          <w:sz w:val="30"/>
          <w:szCs w:val="30"/>
        </w:rPr>
        <w:t>（一）加强组织领导。</w:t>
      </w:r>
      <w:r>
        <w:rPr>
          <w:rFonts w:hint="eastAsia" w:ascii="仿宋_GB2312" w:hAnsi="Times New Roman" w:eastAsia="仿宋_GB2312" w:cs="仿宋_GB2312"/>
          <w:spacing w:val="0"/>
          <w:sz w:val="30"/>
          <w:szCs w:val="30"/>
        </w:rPr>
        <w:t>全面加强对知识产权强市建设工作的领导，充分发挥全市知识产权工作领导小组成员单位作用，强化部门协同和上下协作，形成工作合力。各地、各有关部门要结合实际统筹部署相关任务措施，确保行动方案各项工作有效落实。市知识产权领导小组办公室要加强组织协调，全力推进行动方案实施。</w:t>
      </w:r>
    </w:p>
    <w:p>
      <w:pPr>
        <w:pStyle w:val="9"/>
        <w:keepNext w:val="0"/>
        <w:keepLines w:val="0"/>
        <w:widowControl/>
        <w:suppressLineNumbers w:val="0"/>
        <w:spacing w:before="0" w:beforeAutospacing="0" w:after="0" w:afterAutospacing="0" w:line="555" w:lineRule="atLeast"/>
        <w:ind w:left="0" w:right="0" w:firstLine="630"/>
        <w:jc w:val="both"/>
        <w:rPr>
          <w:rFonts w:hint="default" w:ascii="Times New Roman" w:hAnsi="Times New Roman" w:cs="Times New Roman"/>
          <w:sz w:val="21"/>
          <w:szCs w:val="21"/>
        </w:rPr>
      </w:pPr>
      <w:r>
        <w:rPr>
          <w:rFonts w:hint="default" w:ascii="楷体_GB2312" w:hAnsi="Times New Roman" w:eastAsia="楷体_GB2312" w:cs="楷体_GB2312"/>
          <w:spacing w:val="0"/>
          <w:sz w:val="30"/>
          <w:szCs w:val="30"/>
        </w:rPr>
        <w:t>（二）强化落实保障。</w:t>
      </w:r>
      <w:r>
        <w:rPr>
          <w:rFonts w:hint="eastAsia" w:ascii="仿宋_GB2312" w:hAnsi="Times New Roman" w:eastAsia="仿宋_GB2312" w:cs="仿宋_GB2312"/>
          <w:spacing w:val="0"/>
          <w:sz w:val="30"/>
          <w:szCs w:val="30"/>
        </w:rPr>
        <w:t>完善地方财政投入保障机制，提高财政资金使用绩效，综合运用财税、投融资等政策，形成多元化、多渠道的资金投入体系，突出重点，优化结构，保障任务落实。县（市、区）政府要加强财政预算与行动方案实施的有效衔接，加大对知识产权事业发展的政策支持。按照国家、省和我市有关规定，对在知识产权强市建设工作中作出突出贡献的集体和个人给予表彰。</w:t>
      </w:r>
    </w:p>
    <w:p>
      <w:pPr>
        <w:pStyle w:val="9"/>
        <w:keepNext w:val="0"/>
        <w:keepLines w:val="0"/>
        <w:widowControl/>
        <w:suppressLineNumbers w:val="0"/>
        <w:spacing w:before="0" w:beforeAutospacing="0" w:line="555" w:lineRule="atLeast"/>
        <w:ind w:left="0" w:firstLine="630"/>
        <w:jc w:val="both"/>
        <w:rPr>
          <w:rFonts w:hint="eastAsia" w:ascii="仿宋_GB2312" w:eastAsia="仿宋_GB2312" w:cs="仿宋_GB2312"/>
          <w:sz w:val="28"/>
          <w:szCs w:val="28"/>
        </w:rPr>
      </w:pPr>
      <w:r>
        <w:rPr>
          <w:rFonts w:hint="default" w:ascii="楷体_GB2312" w:eastAsia="楷体_GB2312" w:cs="楷体_GB2312"/>
          <w:spacing w:val="0"/>
          <w:sz w:val="30"/>
          <w:szCs w:val="30"/>
        </w:rPr>
        <w:t>（三）严格考核评估。</w:t>
      </w:r>
      <w:r>
        <w:rPr>
          <w:rFonts w:hint="eastAsia" w:ascii="仿宋_GB2312" w:eastAsia="仿宋_GB2312" w:cs="仿宋_GB2312"/>
          <w:spacing w:val="0"/>
          <w:sz w:val="30"/>
          <w:szCs w:val="30"/>
        </w:rPr>
        <w:t>按照知识产权强国建设部署，以及我市知识产权发展的具体要求，开展年度监测和定期评估总结，对工作落实情况开展督促检查，纳入相关工作评价，逐步建立完善本方案实施的动态调整机制。县级人民政府及有关部门将知识产权指标纳入国民经济和社会发展统计范围。各级政府要加大督查考核工作力度，将知识产权强市建设工作纳入督查考核范围。</w:t>
      </w:r>
    </w:p>
    <w:p>
      <w:pPr>
        <w:pStyle w:val="9"/>
        <w:keepNext w:val="0"/>
        <w:keepLines w:val="0"/>
        <w:widowControl/>
        <w:suppressLineNumbers w:val="0"/>
        <w:spacing w:line="315" w:lineRule="atLeast"/>
      </w:pP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
    <w:altName w:val="Verdana"/>
    <w:panose1 w:val="02010600030101010101"/>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九江市人民政府规范性文件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九江市人民政府规范性文件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MWZlMGUzOTFkY2FmMWU1NWZiNTk2YTVmNTM2MzYifQ=="/>
  </w:docVars>
  <w:rsids>
    <w:rsidRoot w:val="7C9011D9"/>
    <w:rsid w:val="019E71BD"/>
    <w:rsid w:val="06A67E67"/>
    <w:rsid w:val="080F63D8"/>
    <w:rsid w:val="09341458"/>
    <w:rsid w:val="0E800C2B"/>
    <w:rsid w:val="152D2DCA"/>
    <w:rsid w:val="16712F75"/>
    <w:rsid w:val="22440422"/>
    <w:rsid w:val="246B7AE7"/>
    <w:rsid w:val="2A69499D"/>
    <w:rsid w:val="31A15F24"/>
    <w:rsid w:val="31DF424A"/>
    <w:rsid w:val="34FC73D4"/>
    <w:rsid w:val="38D011F2"/>
    <w:rsid w:val="39A232A0"/>
    <w:rsid w:val="39F8439E"/>
    <w:rsid w:val="3B5A6BBB"/>
    <w:rsid w:val="3EDA13A6"/>
    <w:rsid w:val="418450E3"/>
    <w:rsid w:val="42F058B7"/>
    <w:rsid w:val="436109F6"/>
    <w:rsid w:val="441A38D4"/>
    <w:rsid w:val="44995AAD"/>
    <w:rsid w:val="4BC77339"/>
    <w:rsid w:val="4C9236C5"/>
    <w:rsid w:val="4E8B286D"/>
    <w:rsid w:val="52446A29"/>
    <w:rsid w:val="52F46F0B"/>
    <w:rsid w:val="54BE3820"/>
    <w:rsid w:val="55E064E0"/>
    <w:rsid w:val="608816D1"/>
    <w:rsid w:val="6D0E3F22"/>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仿宋_GB2312" w:hAnsi="Times New Roman" w:eastAsia="仿宋_GB2312" w:cs="Times New Roman"/>
      <w:sz w:val="32"/>
      <w:szCs w:val="22"/>
    </w:rPr>
  </w:style>
  <w:style w:type="paragraph" w:styleId="3">
    <w:name w:val="Normal Indent"/>
    <w:basedOn w:val="1"/>
    <w:qFormat/>
    <w:uiPriority w:val="0"/>
    <w:pPr>
      <w:ind w:firstLine="420" w:firstLineChars="200"/>
    </w:pPr>
  </w:style>
  <w:style w:type="paragraph" w:styleId="4">
    <w:name w:val="Body Text"/>
    <w:basedOn w:val="1"/>
    <w:qFormat/>
    <w:uiPriority w:val="0"/>
    <w:pPr>
      <w:spacing w:after="120" w:afterLines="0" w:afterAutospacing="0"/>
    </w:pPr>
  </w:style>
  <w:style w:type="paragraph" w:styleId="5">
    <w:name w:val="Body Text Indent 2"/>
    <w:basedOn w:val="1"/>
    <w:qFormat/>
    <w:uiPriority w:val="0"/>
    <w:pPr>
      <w:spacing w:line="600" w:lineRule="exact"/>
      <w:ind w:left="420" w:leftChars="200"/>
    </w:pPr>
    <w:rPr>
      <w:rFonts w:ascii="仿宋" w:hAnsi="仿宋"/>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napToGrid w:val="0"/>
      <w:spacing w:line="640" w:lineRule="exact"/>
      <w:ind w:firstLine="705"/>
    </w:pPr>
    <w:rPr>
      <w:rFonts w:ascii="仿宋_GB2312" w:hAnsi="Times New Roman" w:eastAsia="仿宋_GB2312"/>
      <w:color w:val="000000"/>
      <w:sz w:val="36"/>
      <w:szCs w:val="36"/>
    </w:rPr>
  </w:style>
  <w:style w:type="paragraph" w:styleId="9">
    <w:name w:val="Normal (Web)"/>
    <w:basedOn w:val="1"/>
    <w:qFormat/>
    <w:uiPriority w:val="0"/>
    <w:pPr>
      <w:spacing w:beforeAutospacing="1" w:afterAutospacing="1"/>
      <w:jc w:val="left"/>
    </w:pPr>
    <w:rPr>
      <w:kern w:val="0"/>
      <w:sz w:val="24"/>
    </w:rPr>
  </w:style>
  <w:style w:type="character" w:styleId="12">
    <w:name w:val="Strong"/>
    <w:basedOn w:val="11"/>
    <w:qFormat/>
    <w:uiPriority w:val="0"/>
    <w:rPr>
      <w:rFonts w:cs="Times New Roman"/>
      <w:b/>
    </w:rPr>
  </w:style>
  <w:style w:type="paragraph" w:customStyle="1" w:styleId="13">
    <w:name w:val="FootnoteText"/>
    <w:basedOn w:val="1"/>
    <w:next w:val="14"/>
    <w:qFormat/>
    <w:uiPriority w:val="0"/>
    <w:pPr>
      <w:snapToGrid w:val="0"/>
      <w:jc w:val="left"/>
      <w:textAlignment w:val="baseline"/>
    </w:pPr>
    <w:rPr>
      <w:sz w:val="18"/>
      <w:szCs w:val="18"/>
    </w:rPr>
  </w:style>
  <w:style w:type="paragraph" w:customStyle="1" w:styleId="14">
    <w:name w:val="BodyText1I2"/>
    <w:basedOn w:val="15"/>
    <w:qFormat/>
    <w:uiPriority w:val="0"/>
    <w:pPr>
      <w:ind w:firstLine="420" w:firstLineChars="200"/>
    </w:pPr>
  </w:style>
  <w:style w:type="paragraph" w:customStyle="1" w:styleId="15">
    <w:name w:val="BodyTextIndent"/>
    <w:basedOn w:val="1"/>
    <w:qFormat/>
    <w:uiPriority w:val="0"/>
    <w:pPr>
      <w:ind w:firstLine="630"/>
      <w:textAlignment w:val="baseline"/>
    </w:pPr>
    <w:rPr>
      <w:rFonts w:ascii="仿宋_GB2312" w:eastAsia="仿宋_GB2312"/>
      <w:sz w:val="32"/>
    </w:rPr>
  </w:style>
  <w:style w:type="paragraph" w:customStyle="1" w:styleId="16">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7">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8">
    <w:name w:val="UserStyle_0"/>
    <w:basedOn w:val="1"/>
    <w:qFormat/>
    <w:uiPriority w:val="0"/>
    <w:pPr>
      <w:widowControl/>
      <w:textAlignment w:val="baseline"/>
    </w:pPr>
    <w:rPr>
      <w:rFonts w:ascii="Times New Roman" w:hAnsi="Times New Roman"/>
      <w:kern w:val="0"/>
      <w:szCs w:val="21"/>
    </w:rPr>
  </w:style>
  <w:style w:type="paragraph" w:customStyle="1" w:styleId="19">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20">
    <w:name w:val="NormalCharacter"/>
    <w:qFormat/>
    <w:uiPriority w:val="0"/>
  </w:style>
  <w:style w:type="paragraph" w:customStyle="1" w:styleId="21">
    <w:name w:val="Default"/>
    <w:basedOn w:val="1"/>
    <w:qFormat/>
    <w:uiPriority w:val="0"/>
    <w:pPr>
      <w:autoSpaceDE w:val="0"/>
      <w:autoSpaceDN w:val="0"/>
      <w:adjustRightInd w:val="0"/>
      <w:jc w:val="left"/>
    </w:pPr>
    <w:rPr>
      <w:rFonts w:ascii="华文新魏" w:hAnsi="华文新魏" w:cs="??"/>
      <w:color w:val="000000"/>
      <w:kern w:val="0"/>
      <w:sz w:val="24"/>
    </w:rPr>
  </w:style>
  <w:style w:type="paragraph" w:customStyle="1" w:styleId="22">
    <w:name w:val="Plain Text1"/>
    <w:basedOn w:val="1"/>
    <w:qFormat/>
    <w:uiPriority w:val="0"/>
    <w:rPr>
      <w:rFonts w:hint="eastAsia" w:ascii="宋体" w:hAnsi="Courier New"/>
      <w:sz w:val="24"/>
    </w:rPr>
  </w:style>
  <w:style w:type="paragraph" w:customStyle="1" w:styleId="23">
    <w:name w:val="Heading2"/>
    <w:basedOn w:val="1"/>
    <w:next w:val="1"/>
    <w:qFormat/>
    <w:uiPriority w:val="0"/>
    <w:pPr>
      <w:keepNext/>
      <w:keepLines/>
      <w:widowControl/>
      <w:spacing w:before="260" w:beforeLines="0" w:after="260" w:afterLines="0" w:line="413" w:lineRule="auto"/>
      <w:jc w:val="both"/>
      <w:textAlignment w:val="baseline"/>
    </w:pPr>
    <w:rPr>
      <w:rFonts w:ascii="Arial" w:hAnsi="Arial" w:eastAsia="黑体" w:cs="Times New Roman"/>
      <w:b/>
      <w:bCs/>
      <w:kern w:val="2"/>
      <w:sz w:val="32"/>
      <w:szCs w:val="32"/>
      <w:lang w:val="en-US" w:eastAsia="zh-CN" w:bidi="ar-SA"/>
    </w:rPr>
  </w:style>
  <w:style w:type="paragraph" w:customStyle="1" w:styleId="24">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192</Words>
  <Characters>203</Characters>
  <Lines>0</Lines>
  <Paragraphs>0</Paragraphs>
  <TotalTime>7</TotalTime>
  <ScaleCrop>false</ScaleCrop>
  <LinksUpToDate>false</LinksUpToDate>
  <CharactersWithSpaces>204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微信用户</cp:lastModifiedBy>
  <cp:lastPrinted>2021-09-22T01:19:00Z</cp:lastPrinted>
  <dcterms:modified xsi:type="dcterms:W3CDTF">2023-09-01T03:08:46Z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B31FDAC15A9B4D51AEBA54BF9461C239_13</vt:lpwstr>
  </property>
</Properties>
</file>