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pacing w:before="0" w:beforeAutospacing="1" w:after="0" w:afterAutospacing="0" w:line="579" w:lineRule="atLeast"/>
        <w:ind w:left="0" w:right="0"/>
        <w:jc w:val="center"/>
        <w:rPr>
          <w:b/>
          <w:bCs/>
          <w:spacing w:val="6"/>
          <w:sz w:val="36"/>
          <w:szCs w:val="36"/>
        </w:rPr>
      </w:pPr>
      <w:bookmarkStart w:id="0" w:name="_GoBack"/>
      <w:r>
        <w:rPr>
          <w:rFonts w:ascii="仿宋_GB2312" w:eastAsia="仿宋_GB2312" w:cs="仿宋_GB2312"/>
          <w:b/>
          <w:bCs/>
          <w:spacing w:val="6"/>
          <w:sz w:val="36"/>
          <w:szCs w:val="36"/>
        </w:rPr>
        <w:t>九江市2021年国民经济和社会发展计划</w:t>
      </w:r>
    </w:p>
    <w:bookmarkEnd w:id="0"/>
    <w:p>
      <w:pPr>
        <w:pStyle w:val="9"/>
        <w:keepNext w:val="0"/>
        <w:keepLines w:val="0"/>
        <w:widowControl/>
        <w:suppressLineNumbers w:val="0"/>
        <w:spacing w:before="0" w:beforeAutospacing="1" w:after="0" w:afterAutospacing="0" w:line="579" w:lineRule="atLeast"/>
        <w:ind w:left="0" w:right="0"/>
        <w:jc w:val="center"/>
        <w:rPr>
          <w:spacing w:val="6"/>
          <w:sz w:val="19"/>
          <w:szCs w:val="19"/>
        </w:rPr>
      </w:pPr>
      <w:r>
        <w:rPr>
          <w:rFonts w:hint="eastAsia" w:ascii="仿宋_GB2312" w:eastAsia="仿宋_GB2312" w:cs="仿宋_GB2312"/>
          <w:spacing w:val="6"/>
          <w:sz w:val="31"/>
          <w:szCs w:val="31"/>
        </w:rPr>
        <w:t>2021年4月27日经市政府同意，现予发布实施。</w:t>
      </w:r>
    </w:p>
    <w:p>
      <w:pPr>
        <w:pStyle w:val="9"/>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仿宋_GB2312" w:eastAsia="仿宋_GB2312" w:cs="仿宋_GB2312"/>
          <w:spacing w:val="6"/>
          <w:sz w:val="30"/>
          <w:szCs w:val="30"/>
        </w:rPr>
        <w:t>2020年是极不平凡、极不寻常、极为不易的一年。面对严峻复杂的国际形势、艰巨繁重的改革发展稳定任务，特别是新冠肺炎疫情的严重冲击，加之历史罕见汛情的严峻考验，全市各级各部门高举习近平新时代中国特色社会主义思想伟大旗帜，深入学习贯彻习近平总书记视察江西重要讲话精神，认真落实党中央、国务院和省委、省政府的决策部署，坚持稳中求进的工作总基调，全面贯彻新发展理念，扎实做好“六稳”工作，全面落实“六保”任务，三大攻坚战取得决定性成果，经济实力进一步提升，“十三五”规划和年度目标任务基本实现，即将如期与全国、全省同步全面建成小康社会。</w:t>
      </w:r>
    </w:p>
    <w:p>
      <w:pPr>
        <w:pStyle w:val="9"/>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仿宋_GB2312" w:eastAsia="仿宋_GB2312" w:cs="仿宋_GB2312"/>
          <w:spacing w:val="6"/>
          <w:sz w:val="30"/>
          <w:szCs w:val="30"/>
        </w:rPr>
        <w:t>全年实现地区生产总值3240.5亿元，同比增长3.8%；财政总收入545.29亿元，增长0.7%，其中一般公共财政预算收入286.44亿元，增长0.9%；固定资产投资增长9.0%；规模以上工业增加值增长4.2%；实际利用外资25.24亿美元，增长7.6%；实现外贸出口总额372.51亿元，增长27.9%；社会消费品零售总额1196.1亿元，同比增长3.1%；城镇、农村人均可支配收入分别达到40337元、17051元，增长5.9%、8.1%。主要经济指标继续保持全省前列。在夺取疫情防控和防汛抗洪双胜利的同时，全市重大项目进展顺利，武通高速、城西港铁路专用线、庐山高铁站房、英科医疗等项目开工建设；创新能力稳步提高，全社会研发投入超50亿元，占GDP比重达到1.5%，科技型企业数量大幅增长；营商环境持续优化，搭建市级惠企政策服务平台，荣获全国亲清环境创新奖，2019年度省营商环境评价综合排名和企业评价均列全省第一；开放平台日渐夯实，九江首柜进口肉类通关到场，结束了江西无直接进口肉类的历史；绿色发展示范效应成效显著，我市推进长江“共抓大保护”、禁捕退捕、最美岸线、候鸟保护、产业转型升级等工作得到韩正副总理的充分肯定；人民生活水平持续提升，幸福感和安全感不断增强。</w:t>
      </w:r>
    </w:p>
    <w:p>
      <w:pPr>
        <w:pStyle w:val="9"/>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仿宋_GB2312" w:eastAsia="仿宋_GB2312" w:cs="仿宋_GB2312"/>
          <w:spacing w:val="6"/>
          <w:sz w:val="30"/>
          <w:szCs w:val="30"/>
        </w:rPr>
        <w:t>2021年经济社会发展的主要预期目标是：地区生产总值增长8.5%左右；财政总收入增长6%左右，一般公共预算收入增长5%左右；固定资产投资增长9%左右；社会消费品零售总额增长9.5%左右；规模以上工业增加值增长8.8%左右；实际利用外资增长7%左右；出口总额增长6%左右；城镇居民人均可支配收入增长8.5%左右，农村居民人均可支配收入增长9%左右； 居民消费价格涨幅控制在3%左右；节能减排降碳等约束性指标完成省下达目标。</w:t>
      </w:r>
    </w:p>
    <w:p>
      <w:pPr>
        <w:pStyle w:val="9"/>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仿宋_GB2312" w:eastAsia="仿宋_GB2312" w:cs="仿宋_GB2312"/>
          <w:spacing w:val="6"/>
          <w:sz w:val="30"/>
          <w:szCs w:val="30"/>
        </w:rPr>
        <w:t>围绕完成计划目标提出的各项任务，重点抓好七个方面工作：</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ascii="黑体" w:hAnsi="宋体" w:eastAsia="黑体" w:cs="黑体"/>
          <w:spacing w:val="6"/>
          <w:sz w:val="30"/>
          <w:szCs w:val="30"/>
        </w:rPr>
        <w:t>一、紧紧抓住扩大内需这个战略基点，着力激发高质量跨越式发展内生动力。</w:t>
      </w:r>
      <w:r>
        <w:rPr>
          <w:rFonts w:hint="eastAsia" w:ascii="仿宋_GB2312" w:eastAsia="仿宋_GB2312" w:cs="仿宋_GB2312"/>
          <w:spacing w:val="6"/>
          <w:sz w:val="30"/>
          <w:szCs w:val="30"/>
        </w:rPr>
        <w:t>把实施扩大内需战略同深化供给侧结构性改革有机结合起来，全面促进消费，拓展投资空间，积极融入国内大循环和国内国际双循环。</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ascii="monospace" w:eastAsia="monospace" w:cs="monospace"/>
          <w:spacing w:val="6"/>
          <w:sz w:val="30"/>
          <w:szCs w:val="30"/>
        </w:rPr>
        <w:t>全力以赴扩投资。</w:t>
      </w:r>
      <w:r>
        <w:rPr>
          <w:rFonts w:hint="eastAsia" w:ascii="仿宋_GB2312" w:eastAsia="仿宋_GB2312" w:cs="仿宋_GB2312"/>
          <w:spacing w:val="6"/>
          <w:sz w:val="30"/>
          <w:szCs w:val="30"/>
        </w:rPr>
        <w:t>充分发挥投资对优化供给结构的关键性作用，围绕九江长远发展谋划推动一批重大基础设施项目，围绕重塑工业重镇新辉煌谋划推动一批重大产业项目，围绕满足人民群众日益增长的美好生活需要谋划推动一批社会事业项目。全力打好工业、农业、服务业、重大基础设施、新基建、公共服务、城建设施等领域“项目大会战”，健全完善重大项目推进机制，提升项目服务和要素保障水平，推动投资规模合理增长、结构持续优化、质量不断提升。力争全年新引进亿元以上重点项目400个、确保每个县（市、区）引进落户“50</w:t>
      </w:r>
      <w:r>
        <w:rPr>
          <w:rFonts w:hint="eastAsia" w:ascii="宋体" w:hAnsi="宋体" w:eastAsia="宋体" w:cs="宋体"/>
          <w:spacing w:val="6"/>
          <w:sz w:val="30"/>
          <w:szCs w:val="30"/>
        </w:rPr>
        <w:t>•</w:t>
      </w:r>
      <w:r>
        <w:rPr>
          <w:rFonts w:hint="eastAsia" w:ascii="仿宋_GB2312" w:eastAsia="仿宋_GB2312" w:cs="仿宋_GB2312"/>
          <w:spacing w:val="6"/>
          <w:sz w:val="30"/>
          <w:szCs w:val="30"/>
        </w:rPr>
        <w:t>20”项目2个以上。全市纳入重点调度重大项目超1200个，年度计划投资超2300亿元。启动长九池高铁、彭东高速、过江过湖通道等项目前期工作；推进红光铁路专用线、中科软件产业园、鑫山水泥整体搬迁等项目；加快九江石化芳烃、德福电解铜箔、昌九客专、武通高速等项目；完成城西港区铁路专用线、英利太阳能光伏组件、两河流域综合治理等项目。</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多措并举促消费。</w:t>
      </w:r>
      <w:r>
        <w:rPr>
          <w:rFonts w:hint="eastAsia" w:ascii="仿宋_GB2312" w:eastAsia="仿宋_GB2312" w:cs="仿宋_GB2312"/>
          <w:spacing w:val="6"/>
          <w:sz w:val="30"/>
          <w:szCs w:val="30"/>
        </w:rPr>
        <w:t>狠抓消费升级三年行动，大力开展“优品”“兴市”“强商”“旺客”“捷运”五大行动，力争限额以上商贸企业新增入统120户以上。大力发展夜经济，积极培育城市特色商业街区，持续开展老字号认定工作，推进“特色浔品两上三进”，擦亮特色“浔品”招牌。进一步推进家政服务提质扩容，全面培育养老服务市场，积极引导社会力量参与医疗、教育、文体、养老等服务。深入挖掘新兴领域消费潜力，加快电子商务、实体零售协调发展，鼓励发展“宅经济”“她经济”“童经济”“银发经济”等消费新业态新模式，培育壮大数字家庭、远程定制、体验分享等新型信息消费。优化市区商业网点布局，增强重点商圈服务功能，鼓励和支持社区商业发展。加强消费维权体系建设，优化消费环境，提振消费信心。</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千方百计稳外贸。</w:t>
      </w:r>
      <w:r>
        <w:rPr>
          <w:rFonts w:hint="eastAsia" w:ascii="仿宋_GB2312" w:eastAsia="仿宋_GB2312" w:cs="仿宋_GB2312"/>
          <w:spacing w:val="6"/>
          <w:sz w:val="30"/>
          <w:szCs w:val="30"/>
        </w:rPr>
        <w:t>积极应对中美贸易摩擦，建立健全外贸问题协调预警机制，鼓励外贸企业开拓欧盟、东盟、日韩和“一带一路”新兴市场，全面提升应对和化解风险能力。深挖企业出口潜力，扩大出口主体规模，力争生产型出口占比提高5个百分点，实现外贸出口395亿元。加强品牌孵化，加快培育一批龙头企业知名品牌，形成“九江制造”国际市场竞争新优势。加快九江跨境电商综合试验区建设，健全完善九江综保区功能，打造完整的跨境电商产业链和生态圈，支持企业开展跨境电商、外贸综合服务等新贸易业态，大力开展跨境电商零售进口试点，实现跨境电子商务出口额40亿元。</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spacing w:val="6"/>
          <w:sz w:val="30"/>
          <w:szCs w:val="30"/>
        </w:rPr>
        <w:t>二、全面加快产业基础高级化、产业链现代化步伐，着力夯实高质量跨越式发展主干支撑。</w:t>
      </w:r>
      <w:r>
        <w:rPr>
          <w:rFonts w:hint="eastAsia" w:ascii="仿宋_GB2312" w:eastAsia="仿宋_GB2312" w:cs="仿宋_GB2312"/>
          <w:spacing w:val="6"/>
          <w:sz w:val="30"/>
          <w:szCs w:val="30"/>
        </w:rPr>
        <w:t>聚焦十大重点产业，持续实施产业链“链长制”，加快“淘汰落后、提升传统、培育新兴”，着力构建现代化产业体系。</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深入实施工业强市战略。</w:t>
      </w:r>
      <w:r>
        <w:rPr>
          <w:rFonts w:hint="eastAsia" w:ascii="仿宋_GB2312" w:eastAsia="仿宋_GB2312" w:cs="仿宋_GB2312"/>
          <w:spacing w:val="6"/>
          <w:sz w:val="30"/>
          <w:szCs w:val="30"/>
        </w:rPr>
        <w:t>加大骨干企业培育力度，对骨干企业逐企梳理、分类施策，制定个性化培植方案和发展路径，力争税收收入过亿元企业达到20家。深入开展“个转企、小升规”行动，净增规模以上工业企业100户。纵深推进传统产业优化升级，实施新一轮企业技术改造升级工程，力争工业技改投资增幅及占比均达到35%以上。大力实施先进制造提能工程，重点围绕石油化工、装备制造、钢铁有色、纺织服装等产业，加速打造有机硅、纤维素纤维、芳烃等示范产业链。深入实施新兴产业倍增计划，围绕电子信息、新材料、装备制造等产业，推进100个以上战略性新兴产业项目建设，把战略性新兴产业打造成重塑九江工业新辉煌的“生力军”。全面落实数字经济三年行动，着力实施数字经济提速工程，加速布局大数据、云计算、人工智能等数字产业，加快华为（江西）新一代信息技术创新中心、鄱阳湖生态科技城蓝湾数字小镇等重点项目建设，引领带动全市数字经济快速发展。推广应用九江石化“智能工厂”和星火有机硅“5G+智能化工”成功案例的运营模式，引导和促进制造业与新一代信息技术、智能技术深度融合。</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推动第三产业扬优成势。</w:t>
      </w:r>
      <w:r>
        <w:rPr>
          <w:rFonts w:hint="eastAsia" w:ascii="仿宋_GB2312" w:eastAsia="仿宋_GB2312" w:cs="仿宋_GB2312"/>
          <w:spacing w:val="6"/>
          <w:sz w:val="30"/>
          <w:szCs w:val="30"/>
        </w:rPr>
        <w:t>牢牢把握“山上做明珠，山下串珍珠”的要求，放大庐山管理体制改革效应，组建庐山旅游发展集团，全面打响“庐山天下悠”品牌。支持庐山西海以成功创5A为新起点，在基础设施建设、旅游业态产品、景区功能品质等方面实现新的更大提升。大力实施“旅游+”战略，推出“山盟海誓”精品线路，融入“万里茶道”旅游联盟，支持石钟山、富华山创建5A景区，全力推进吴城候鸟小镇二期、浔阳江景区、华夏阳光微电影小镇、柘林老镇美食文创园等项目建设。持续发挥“三同”政策效应，加强与省内港口合作，深化与沿江港口协作，拓宽与国际港口合作，开辟近洋国际直航业务，提高江海联运效率，力争全年完成货物吞吐量1.7亿吨，集装箱吞吐量80万标箱。纵深推进企业上市“映山红行动”，加快善水科技、美庐生物等企业上市进度。支持共青城基金小镇健康发展，引导更多金融资本服务本地产业。力争城发集团获3A主体信用评级。</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加大实体经济帮扶力度。</w:t>
      </w:r>
      <w:r>
        <w:rPr>
          <w:rFonts w:hint="eastAsia" w:ascii="仿宋_GB2312" w:eastAsia="仿宋_GB2312" w:cs="仿宋_GB2312"/>
          <w:spacing w:val="6"/>
          <w:sz w:val="30"/>
          <w:szCs w:val="30"/>
        </w:rPr>
        <w:t>围绕“六稳”“六保”工作要求，继续落实好惠企利民政策，帮助企业有效解决资金、人才、技术等要素需求。充分发挥财政资金和产业引导基金的导向作用，撬动社会资本、银行资本向十大产业聚集。健全完善市四套班子领导挂点帮扶重点产业、重点项目、重点企业工作机制，持续开展市直部门一对一帮扶、驻企特派员等帮扶活动，深入推广“企业微信”APP应用，着力推进惠企政策直通企业。做好企业用工稳工指导，完善劳动关系协调机制建设，引导企业用好用足就业优惠政策。加大对实体经济的信贷支持力度，深入开展降低企业获得信贷难度和成本行动，建立健全市级融资担保业务风险补偿机制，进一步降低中小微企业融资成本。</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spacing w:val="6"/>
          <w:sz w:val="30"/>
          <w:szCs w:val="30"/>
        </w:rPr>
        <w:t>三、持续深化改革开放创新，着力积蓄高质量跨越式发展新兴动能。</w:t>
      </w:r>
      <w:r>
        <w:rPr>
          <w:rFonts w:hint="eastAsia" w:ascii="仿宋_GB2312" w:eastAsia="仿宋_GB2312" w:cs="仿宋_GB2312"/>
          <w:spacing w:val="6"/>
          <w:sz w:val="30"/>
          <w:szCs w:val="30"/>
        </w:rPr>
        <w:t>坚持改革开放和创新驱动“双轮同转”，全力破解制约经济社会发展的体制机制问题，全面提高经济整体竞争力。</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深化重要领域和关键环节改革。</w:t>
      </w:r>
      <w:r>
        <w:rPr>
          <w:rFonts w:hint="eastAsia" w:ascii="仿宋_GB2312" w:eastAsia="仿宋_GB2312" w:cs="仿宋_GB2312"/>
          <w:spacing w:val="6"/>
          <w:sz w:val="30"/>
          <w:szCs w:val="30"/>
        </w:rPr>
        <w:t>持续提升营商环境，以国家营商环境评价为契机，对标营商环境评价指标体系要求和先进地区经验做法，进一步扩大“一枚印章管审批”覆盖范围，着力解决部门分割、信息孤岛、政策兑现和社会信用等问题，持续打造“四最”营商环境。严格落实《市场准入负面清单（2020年版）》，推行“一照含证”改革，开展政务服务“好差评”，支持民营企业改革发展，不断激发市场主体活力。整合优化事业单位职能，高质量完成事业单位改革。深化国有资本投资、运营改革，扎实开展国资国企改革创新三年行动。加快开发区改革创新步伐，积极推动湖口、修水等开发区调区扩区，力争5个园区营业收入超过500亿元。继续深化财税体制、农业农村、卫生医疗等其他领域改革。</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扩大更高水平双向开放。</w:t>
      </w:r>
      <w:r>
        <w:rPr>
          <w:rFonts w:hint="eastAsia" w:ascii="仿宋_GB2312" w:eastAsia="仿宋_GB2312" w:cs="仿宋_GB2312"/>
          <w:spacing w:val="6"/>
          <w:sz w:val="30"/>
          <w:szCs w:val="30"/>
        </w:rPr>
        <w:t>提速区域航运中心建设，完成城西砂石集散中心、赤湖公用码头建设，开工建设上港二期、红光铁路专用线，加快完善港口集疏运网络。建成“智慧港口”“单一窗口”和“大通关”体系，进一步压缩通关时间，提升跨境贸易便利化水平。继续扩大口岸开放，确保瑞昌和彭泽港区通过国家验收，力争进境水果指定监管场地获批运营，实现进口粮食20万吨、进口肉类1万吨，口岸外贸吞吐量年增长5%。深化区域合作，主动对接融入共建“一带一路”、长江经济带、长江中游城市群，大力推动江西内陆开放型经济试验区、大南昌都市圈、赣鄂皖长江两岸合作发展试验区建设。</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增强创新驱动能力。</w:t>
      </w:r>
      <w:r>
        <w:rPr>
          <w:rFonts w:hint="eastAsia" w:ascii="仿宋_GB2312" w:eastAsia="仿宋_GB2312" w:cs="仿宋_GB2312"/>
          <w:spacing w:val="6"/>
          <w:sz w:val="30"/>
          <w:szCs w:val="30"/>
        </w:rPr>
        <w:t>加大科技创新投入，力争全社会研发投入增长35%以上，高新技术企业总数接近1000家，独角兽和瞪羚企业突破20家。积极融入鄱阳湖国家自主创新示范区建设，做大做强“一南一北”“一东一西”“一县一园” 科创园区，不断优化区域创新布局。积极开展产业创新能力提升行动、科技型企业梯次培育行动、研发投入攻坚决胜行动和03专项试点示范提速提质行动，不断增强企业创新力、竞争力。支持中科院庐山植物园、修水国家天文台射电望远镜等重大平台建设，加快发展新型研发机构。建立以企业为主体，高校和服务机构参与的高价值专利组合培育机制，稳步推动产学研协同创新发展。积极推进科技金融服务，力争2021年“科贷通”规模达到8亿元，实投企业3亿元以上。</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spacing w:val="6"/>
          <w:sz w:val="30"/>
          <w:szCs w:val="30"/>
        </w:rPr>
        <w:t>四、加快推进城乡融合发展，着力补齐高质量跨越式发展突出短板。</w:t>
      </w:r>
      <w:r>
        <w:rPr>
          <w:rFonts w:hint="eastAsia" w:ascii="仿宋_GB2312" w:eastAsia="仿宋_GB2312" w:cs="仿宋_GB2312"/>
          <w:spacing w:val="6"/>
          <w:sz w:val="30"/>
          <w:szCs w:val="30"/>
        </w:rPr>
        <w:t>坚持以“人的城镇化”为核心，统筹推进新型城镇化和农业农村现代化，不断提升城乡品质，全面推动城乡融合发展，力争城镇化率达到59.6%。</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全面提升城市功能品质。</w:t>
      </w:r>
      <w:r>
        <w:rPr>
          <w:rFonts w:hint="eastAsia" w:ascii="仿宋_GB2312" w:eastAsia="仿宋_GB2312" w:cs="仿宋_GB2312"/>
          <w:spacing w:val="6"/>
          <w:sz w:val="30"/>
          <w:szCs w:val="30"/>
        </w:rPr>
        <w:t>强化规划引领，加快完成国土空间总体规划编制，严格“城市五线”管控，实现“一张蓝图”干到底。实施城市更新行动，完成棚户区改造4765户、中心城区老旧小区改造27个，背街小巷改造提升157条。优化城市路网布局，启动赛城湖新城两纵一横路网建设，加快鄱阳湖生态科技城路网、快速路系统、濂溪大道中段拓宽、九湖路改造等工程建设，完成前进东路互通和陆家垄路互通建设，打通学院路延伸线、永新路延伸线等“断头路”。着力推进国家黑臭水体治理示范城市建设，加强海绵城市建设，探索“韧性城市”建设，巩固国家历史文化名城申报成果，持续开展全国文明城市创建。严格落实《九江市物业管理条例》，完善“区间联动、条块结合、齐抓共管”的城市管理机制，加快“智慧九江”建设，推进生活垃圾分类工作，全面提升城市治理效能。</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全面实施乡村振兴战略。</w:t>
      </w:r>
      <w:r>
        <w:rPr>
          <w:rFonts w:hint="eastAsia" w:ascii="仿宋_GB2312" w:eastAsia="仿宋_GB2312" w:cs="仿宋_GB2312"/>
          <w:spacing w:val="6"/>
          <w:sz w:val="30"/>
          <w:szCs w:val="30"/>
        </w:rPr>
        <w:t>实施藏粮于地、藏粮于技战略，加强种质资源保护和利用，加大良种繁育推广力度，完成高标准农田37.1万亩，粮食产量稳定在30亿斤左右。大力发展“两茶一水”特色产业，做大做强“庐山云雾”“宁红”“鄱阳湖虾蟹”“永修香米”等特色农业区域品牌，支持彭泽承办第四届中国农民丰收节活动。积极推进现代农业产业园建设，新建省级现代农业产业园2个、市级现代农业产业园50个，实现“一乡一园”全覆盖。推进新型经营主体扩量提质增效，新增家庭农场200家、农民合作社600个、市级以上龙头企业20家。深化农村人居环境整治，新增新村建设点800个，力争农村垃圾分类乡镇覆盖面达到50%以上。加强水利基础设施建设，继续实施圩堤、病险水库除险加固和中小河流治理工程，不断提升防洪能力。推动承包土地经营权规范有序流转，深化农商互联和产销对接，支持农村电商发展，拓宽农民增收致富渠道。</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全面提升县域经济实力。</w:t>
      </w:r>
      <w:r>
        <w:rPr>
          <w:rFonts w:hint="eastAsia" w:ascii="仿宋_GB2312" w:eastAsia="仿宋_GB2312" w:cs="仿宋_GB2312"/>
          <w:spacing w:val="6"/>
          <w:sz w:val="30"/>
          <w:szCs w:val="30"/>
        </w:rPr>
        <w:t>深入开展县域经济高质量跨越式发展三年赶超倍增行动，鼓励各县（市、区）根据资源禀赋和发展基础，因地制宜、扬长补短，走“特色分化、优势极化”之路，加快形成“特色鲜明、优势明显、竞相赶超、加快倍增”的县域经济高质量跨越式发展新格局。健全财力与事权相匹配的财政体制，加大政银企对接力度，狠抓重大项目的谋划、生成、争取、推进，夯实县域经济三年赶超倍增发展的支撑。着力破除城乡二元体制障碍，引导城乡经济主体通过市场机制自主进行要素配置，改善城乡土地、资金、劳动力等资源的配置效率。全面落实县域经济发展以奖代补专项资金，力争财政总收入过50亿元县实现零的突破。</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spacing w:val="6"/>
          <w:sz w:val="30"/>
          <w:szCs w:val="30"/>
        </w:rPr>
        <w:t>五、切实加强生态环境保护，着力绘就高质量跨越式发展靓丽底色。</w:t>
      </w:r>
      <w:r>
        <w:rPr>
          <w:rFonts w:hint="eastAsia" w:ascii="仿宋_GB2312" w:eastAsia="仿宋_GB2312" w:cs="仿宋_GB2312"/>
          <w:spacing w:val="6"/>
          <w:sz w:val="30"/>
          <w:szCs w:val="30"/>
        </w:rPr>
        <w:t>坚持绿水青山就是金山银山理念，认真落实“碳达峰、碳中和”部署要求，促进经济发展与环境改善良性互动，走出一条具有九江特色的绿色发展新路子。</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完善保护体制机制。</w:t>
      </w:r>
      <w:r>
        <w:rPr>
          <w:rFonts w:hint="eastAsia" w:ascii="仿宋_GB2312" w:eastAsia="仿宋_GB2312" w:cs="仿宋_GB2312"/>
          <w:spacing w:val="6"/>
          <w:sz w:val="30"/>
          <w:szCs w:val="30"/>
        </w:rPr>
        <w:t>加强生态空间管控，细化落实主体功能区空间布局和生态保护红线制度，深入实施河长制、湖长制、林长制，建立生态保护修复的长效制度和模式。纵深推进长江经济带绿色发展示范区建设，加快武宁县生态产品价值实现机制试点工作，推广“两山银行”“湿地银行”等模式，支持“生态产品储蓄银行”试点，不断拓宽绿水青山与金山银山的双向转化通道。巩固长江“最美岸线”成果，深入推进最美鄱湖、最美修河、最美西海岸线建设，探索建立长效监管机制，形成山水林田湖草生命共同体可复制、可推广经验。探索建立市场化、多元化生态补偿机制，实施跨区域流域上下游横向生态保护补偿，推动上下游协同治污。</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提升生态环境质量。</w:t>
      </w:r>
      <w:r>
        <w:rPr>
          <w:rFonts w:hint="eastAsia" w:ascii="仿宋_GB2312" w:eastAsia="仿宋_GB2312" w:cs="仿宋_GB2312"/>
          <w:spacing w:val="6"/>
          <w:sz w:val="30"/>
          <w:szCs w:val="30"/>
        </w:rPr>
        <w:t>继续深入推进污染防治攻坚，主攻八大标志性战役30个专项行动，狠抓各类生态环境突出问题整改，全力推动九江生态环境持续改善。深入实施大气污染防治行动计划，加强细颗粒物和臭氧协同控制，全面提升大气污染防治管控水平和治理效果。持续开展与三峡集团等央企合作，继续实施水环境综合治理项目，强化污水处理及配套设施建设管理运营。持续巩固鄱阳湖、八里湖治理成效，分期逐步推进长江、鄱阳湖排污口“一口一策”整治工作。加强垃圾及飞灰处理设施建设，健全完善危废处置全过程监管，强化污染地块和受污染耕地安全利用，持续修复生态环境，建设天蓝地绿水清的美丽九江。</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加快绿色产业发展。</w:t>
      </w:r>
      <w:r>
        <w:rPr>
          <w:rFonts w:hint="eastAsia" w:ascii="仿宋_GB2312" w:eastAsia="仿宋_GB2312" w:cs="仿宋_GB2312"/>
          <w:spacing w:val="6"/>
          <w:sz w:val="30"/>
          <w:szCs w:val="30"/>
        </w:rPr>
        <w:t>严格落实环境准入负面清单，把好项目规划、环评和质量关，坚决杜绝牺牲环境的发展。依托我市良好山水生态旅游资源，因地制宜发展生态农业、文化旅游、健康养生等绿色经济。开展园区循环化改造试点，大力发展生态循环农业、节能环保、环境服务等绿色产业，统筹推进绿色工厂、绿色产品、绿色供应链、绿色标准等领域探索实践，新增省级以上绿色园区1家、绿色工厂5家。</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spacing w:val="6"/>
          <w:sz w:val="30"/>
          <w:szCs w:val="30"/>
        </w:rPr>
        <w:t>六、深入践行以人民为中心的发展思想，着力推动高质量跨越式发展成果共享。</w:t>
      </w:r>
      <w:r>
        <w:rPr>
          <w:rFonts w:hint="eastAsia" w:ascii="仿宋_GB2312" w:eastAsia="仿宋_GB2312" w:cs="仿宋_GB2312"/>
          <w:spacing w:val="6"/>
          <w:sz w:val="30"/>
          <w:szCs w:val="30"/>
        </w:rPr>
        <w:t>坚持以满足人民日益增长的美好生活需要为根本目的，加快补短板、强弱项，实现从保障底线民生、基本民生向共享质量民生跨越，不断提高人民群众幸福感。</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巩固拓展脱贫攻坚成果。</w:t>
      </w:r>
      <w:r>
        <w:rPr>
          <w:rFonts w:hint="eastAsia" w:ascii="仿宋_GB2312" w:eastAsia="仿宋_GB2312" w:cs="仿宋_GB2312"/>
          <w:spacing w:val="6"/>
          <w:sz w:val="30"/>
          <w:szCs w:val="30"/>
        </w:rPr>
        <w:t>建立脱贫攻坚长效机制，严格落实“四个不摘”“四个不减”要求，保持现有帮扶政策、资金支持、帮扶力量总体稳定。健全防止返贫动态监测和帮扶机制，探索统筹解决城乡贫困的政策措施，完善提升农业产业扶贫保险、贫困人口返贫保险、边缘人口致贫保险等有效机制。持续发展优势特色产业，培育壮大产业扶贫基地、致富能手、扶贫企业、扶贫合作社等新型经营主体，着力推动消费扶贫提质增效，加快推进就业扶贫提档升级，切实发挥带贫益贫功能。深化“三讲一评”颂党恩活动，继续推行“增收激励法”“爱心超市”“红黑榜”“文艺扶贫”“农民理事会”等做法，激励有劳动能力的低收入人口勤劳致富。</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全力保障就业。</w:t>
      </w:r>
      <w:r>
        <w:rPr>
          <w:rFonts w:hint="eastAsia" w:ascii="仿宋_GB2312" w:eastAsia="仿宋_GB2312" w:cs="仿宋_GB2312"/>
          <w:spacing w:val="6"/>
          <w:sz w:val="30"/>
          <w:szCs w:val="30"/>
        </w:rPr>
        <w:t>把稳就业保就业摆在突出位置，全面落实援企稳岗政策，深入实施职业技能提升行动，突出做好高校毕业生、退役军人、农民工、城镇困难群体等重点群体就业工作，进一步扩大企事业单位、国有企业、基层服务项目招录规模，努力实现更充分更高质量的就业。强化职业技能培训供给，优化公共招聘服务，大力支持返乡创业，确保新增城镇就业人数4.5万人，转移农村劳动力5.5万人。进一步构建和谐劳动关系，加强劳动保障监察执法检查，持续开展根治拖欠农民工工资整治行动，保障劳动者合法权益。完善劳动纠纷化解机制，加强劳动争议调解仲裁工作，及时有效化解劳资矛盾纠纷。</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持续提升民生保障水平。</w:t>
      </w:r>
      <w:r>
        <w:rPr>
          <w:rFonts w:hint="eastAsia" w:ascii="仿宋_GB2312" w:eastAsia="仿宋_GB2312" w:cs="仿宋_GB2312"/>
          <w:spacing w:val="6"/>
          <w:sz w:val="30"/>
          <w:szCs w:val="30"/>
        </w:rPr>
        <w:t>积极发展婴幼儿照护和普惠托育服务，加快学前教育优质普惠发展，建成赛城湖学校、兴城学校，启动八里湖学校、九江技师学院建设，加快共青城职教园、九江职业大学西校区建设，全力推进九江学院更名九江大学。深化医药卫生体制改革，全面落实诊疗分级机制，加快县域医共体和城市医联体建设，推进九江市公共卫生临床中心、公共卫生应急物资储备库建设，全面提高应对突发卫生事件能力。建立参保扩面长效机制，健全重大疾病医疗保险和救助制度，完善基本养老服务体系。不断巩固殡葬改革成效，树文明殡葬新风。扎实推进全国尊崇式示范型退役军人服务中心（站）创建，着力推动九江军供站新站建设。加快城乡公共文化服务体系一体化建设，创新实施文化惠民工程。完成第十一届村（居）换届选举工作。</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spacing w:val="6"/>
          <w:sz w:val="30"/>
          <w:szCs w:val="30"/>
        </w:rPr>
        <w:t>七、坚持统筹发展和安全，着力筑牢高质量跨越式发展坚实保障。</w:t>
      </w:r>
      <w:r>
        <w:rPr>
          <w:rFonts w:hint="eastAsia" w:ascii="仿宋_GB2312" w:eastAsia="仿宋_GB2312" w:cs="仿宋_GB2312"/>
          <w:spacing w:val="6"/>
          <w:sz w:val="30"/>
          <w:szCs w:val="30"/>
        </w:rPr>
        <w:t>把安全贯穿于全市经济社会发展各领域和全过程，防范和化解影响现代化进程的各种风险，守住不发生区域性风险底线，建设更高水平的平安九江。</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切实做好常态化疫情防控。</w:t>
      </w:r>
      <w:r>
        <w:rPr>
          <w:rFonts w:hint="eastAsia" w:ascii="仿宋_GB2312" w:eastAsia="仿宋_GB2312" w:cs="仿宋_GB2312"/>
          <w:spacing w:val="6"/>
          <w:sz w:val="30"/>
          <w:szCs w:val="30"/>
        </w:rPr>
        <w:t>深入贯彻习近平总书记重要指示精神，落实党中央、国务院关于疫情防控的决策部署，始终绷紧疫情防控这根弦，全面落实落细常态化疫情防控各项要求，坚决巩固好当前来之不易的疫情防控成果，全力守护住人民群众生命健康安全。按照“两个尽量、两个严禁、两个一律”的要求，强化防控措施、查堵防控漏洞，做好重点部位精准防控。强化进口冷链食品疫情防控，确保“人”“物”同防，加强口岸查验、交通运输、批发零售等各环节管控，做到全程可追溯，确保有效阻断病毒输入链条。把农村地区疫情防控作为重中之重，压实社区、乡镇、村委会等责任，做好务工返乡人员信息登记和健康监测。加强商场、超市、餐馆、交通场站等重点场所防控，严格落实戴口罩、扫码、测温等常态化防控措施。倡导移风易俗，严格控制迎新、敬香、撞钟等祈福活动，暂停非必要大型聚集性活动，提倡婚丧嫁娶从简，减少不必要的出行。持续压紧压实“五方责任”，积极稳妥打好冬春季防控主动仗，坚决消除各类疫情防控风险隐患，确保疫情不出现反弹反复。</w:t>
      </w:r>
    </w:p>
    <w:p>
      <w:pPr>
        <w:pStyle w:val="9"/>
        <w:keepNext w:val="0"/>
        <w:keepLines w:val="0"/>
        <w:widowControl/>
        <w:suppressLineNumbers w:val="0"/>
        <w:spacing w:before="0" w:beforeAutospacing="1" w:after="0" w:afterAutospacing="0" w:line="579" w:lineRule="atLeast"/>
        <w:ind w:left="0" w:right="0" w:firstLine="624"/>
        <w:rPr>
          <w:sz w:val="19"/>
          <w:szCs w:val="19"/>
        </w:rPr>
      </w:pPr>
      <w:r>
        <w:rPr>
          <w:rFonts w:hint="default" w:ascii="monospace" w:eastAsia="monospace" w:cs="monospace"/>
          <w:spacing w:val="6"/>
          <w:sz w:val="30"/>
          <w:szCs w:val="30"/>
        </w:rPr>
        <w:t>防范化解重点领域风险挑战。</w:t>
      </w:r>
      <w:r>
        <w:rPr>
          <w:rFonts w:hint="eastAsia" w:ascii="仿宋_GB2312" w:eastAsia="仿宋_GB2312" w:cs="仿宋_GB2312"/>
          <w:spacing w:val="6"/>
          <w:sz w:val="30"/>
          <w:szCs w:val="30"/>
        </w:rPr>
        <w:t>坚持“房住不炒”的定位，租购并举、因城施策，促进房地产市场平稳健康发展。健全金融监测预警体系，完善涉非突发事件应急响应机制，稳妥有序打击处置网络借贷、私募股权等重点领域非法集资活动，防范化解好地方金融风险。加强经济安全风险预警、防控机制和能力建设，增强重要产业、能源保供、基础设施、粮食安全的抗冲击能力，防范化解好国资国企、地方债务等领域风险。扎实推进安全生产专项整治三年行动，完善安全生产监管机制，抓好安全生产责任落实。加快市应急指挥平台建设，推动应急物资储备体系和储备库建设，开展全市自然灾害风险普查，提高防范化解洪涝灾害、森林火灾、地震灾害风险能力。坚决捍卫政治安全，全力维护社会政治安全稳定，严密防范、严厉打击境内外敌对势力和涉政重点人的捣乱破坏活动。发扬新时代“枫桥经验”，进一步畅通和规范群众诉求表达、利益协调、权益保障通道。加快公安大数据智能化建设，优化“互联网+公安政务服务”，显著提升社会治安整体效能。推动扫黑除恶长效常治，坚决防范和打击各类违法犯罪，全面保障人民安居乐业，全力维护社会和谐稳定。</w:t>
      </w:r>
    </w:p>
    <w:p>
      <w:pPr>
        <w:pStyle w:val="9"/>
        <w:keepNext w:val="0"/>
        <w:keepLines w:val="0"/>
        <w:widowControl/>
        <w:suppressLineNumbers w:val="0"/>
        <w:spacing w:before="0" w:beforeAutospacing="1" w:after="0" w:afterAutospacing="0" w:line="579" w:lineRule="atLeast"/>
        <w:ind w:left="0" w:right="0" w:firstLine="624"/>
        <w:rPr>
          <w:spacing w:val="6"/>
          <w:sz w:val="19"/>
          <w:szCs w:val="19"/>
        </w:rPr>
      </w:pPr>
    </w:p>
    <w:p>
      <w:pPr>
        <w:pStyle w:val="9"/>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仿宋_GB2312" w:eastAsia="仿宋_GB2312" w:cs="仿宋_GB2312"/>
          <w:spacing w:val="6"/>
          <w:sz w:val="30"/>
          <w:szCs w:val="30"/>
        </w:rPr>
        <w:t>附件：九江市2021年国民经济和社会发展计划主要指标</w:t>
      </w:r>
    </w:p>
    <w:p>
      <w:pPr>
        <w:pStyle w:val="9"/>
        <w:keepNext w:val="0"/>
        <w:keepLines w:val="0"/>
        <w:widowControl/>
        <w:suppressLineNumbers w:val="0"/>
        <w:spacing w:before="0" w:beforeAutospacing="1" w:after="0" w:afterAutospacing="0" w:line="403" w:lineRule="atLeast"/>
        <w:ind w:left="0" w:right="0"/>
        <w:jc w:val="left"/>
        <w:rPr>
          <w:sz w:val="19"/>
          <w:szCs w:val="19"/>
        </w:rPr>
      </w:pPr>
      <w:r>
        <w:rPr>
          <w:rFonts w:hint="eastAsia" w:ascii="黑体" w:hAnsi="宋体" w:eastAsia="黑体" w:cs="黑体"/>
          <w:sz w:val="30"/>
          <w:szCs w:val="30"/>
        </w:rPr>
        <w:t>附件</w:t>
      </w:r>
    </w:p>
    <w:p>
      <w:pPr>
        <w:pStyle w:val="9"/>
        <w:keepNext w:val="0"/>
        <w:keepLines w:val="0"/>
        <w:widowControl/>
        <w:suppressLineNumbers w:val="0"/>
        <w:spacing w:before="295" w:beforeAutospacing="0" w:after="295" w:afterAutospacing="0" w:line="562" w:lineRule="atLeast"/>
        <w:ind w:left="0" w:right="0"/>
        <w:jc w:val="center"/>
        <w:rPr>
          <w:sz w:val="19"/>
          <w:szCs w:val="19"/>
        </w:rPr>
      </w:pPr>
      <w:r>
        <w:rPr>
          <w:sz w:val="19"/>
          <w:szCs w:val="19"/>
        </w:rPr>
        <w:t>九江市</w:t>
      </w:r>
      <w:r>
        <w:rPr>
          <w:rFonts w:hint="default" w:ascii="Times New Roman" w:hAnsi="Times New Roman" w:cs="Times New Roman"/>
          <w:sz w:val="19"/>
          <w:szCs w:val="19"/>
        </w:rPr>
        <w:t>2021</w:t>
      </w:r>
      <w:r>
        <w:rPr>
          <w:sz w:val="19"/>
          <w:szCs w:val="19"/>
        </w:rPr>
        <w:t>年国民经济和社会发展计划主要指标</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425"/>
        <w:gridCol w:w="775"/>
        <w:gridCol w:w="1100"/>
        <w:gridCol w:w="969"/>
        <w:gridCol w:w="1051"/>
        <w:gridCol w:w="905"/>
        <w:gridCol w:w="1007"/>
        <w:gridCol w:w="72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Header/>
          <w:jc w:val="center"/>
        </w:trPr>
        <w:tc>
          <w:tcPr>
            <w:tcW w:w="4665" w:type="dxa"/>
            <w:vMerge w:val="restart"/>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黑体" w:hAnsi="宋体" w:eastAsia="黑体" w:cs="黑体"/>
                <w:sz w:val="24"/>
                <w:szCs w:val="24"/>
              </w:rPr>
              <w:t>指标名称</w:t>
            </w:r>
          </w:p>
        </w:tc>
        <w:tc>
          <w:tcPr>
            <w:tcW w:w="1020" w:type="dxa"/>
            <w:vMerge w:val="restart"/>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黑体" w:hAnsi="宋体" w:eastAsia="黑体" w:cs="黑体"/>
                <w:sz w:val="24"/>
                <w:szCs w:val="24"/>
              </w:rPr>
              <w:t>计算单位</w:t>
            </w:r>
          </w:p>
        </w:tc>
        <w:tc>
          <w:tcPr>
            <w:tcW w:w="1440" w:type="dxa"/>
            <w:vMerge w:val="restart"/>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黑体" w:hAnsi="宋体" w:eastAsia="黑体" w:cs="黑体"/>
                <w:sz w:val="24"/>
                <w:szCs w:val="24"/>
              </w:rPr>
              <w:t>2019年实际</w:t>
            </w:r>
          </w:p>
        </w:tc>
        <w:tc>
          <w:tcPr>
            <w:tcW w:w="2595" w:type="dxa"/>
            <w:gridSpan w:val="2"/>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黑体" w:hAnsi="宋体" w:eastAsia="黑体" w:cs="黑体"/>
                <w:sz w:val="24"/>
                <w:szCs w:val="24"/>
              </w:rPr>
              <w:t>2020年</w:t>
            </w:r>
          </w:p>
        </w:tc>
        <w:tc>
          <w:tcPr>
            <w:tcW w:w="2265" w:type="dxa"/>
            <w:gridSpan w:val="2"/>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黑体" w:hAnsi="宋体" w:eastAsia="黑体" w:cs="黑体"/>
                <w:sz w:val="24"/>
                <w:szCs w:val="24"/>
              </w:rPr>
              <w:t>2021年</w:t>
            </w:r>
          </w:p>
        </w:tc>
        <w:tc>
          <w:tcPr>
            <w:tcW w:w="855" w:type="dxa"/>
            <w:vMerge w:val="restart"/>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黑体" w:hAnsi="宋体" w:eastAsia="黑体" w:cs="黑体"/>
                <w:sz w:val="24"/>
                <w:szCs w:val="24"/>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Header/>
          <w:jc w:val="center"/>
        </w:trPr>
        <w:tc>
          <w:tcPr>
            <w:tcW w:w="4665" w:type="dxa"/>
            <w:vMerge w:val="continue"/>
            <w:tcBorders>
              <w:top w:val="single" w:color="000000" w:sz="6" w:space="0"/>
              <w:left w:val="single" w:color="000000" w:sz="6" w:space="0"/>
              <w:bottom w:val="single" w:color="000000" w:sz="6" w:space="0"/>
              <w:right w:val="nil"/>
            </w:tcBorders>
            <w:shd w:val="clear"/>
            <w:tcMar>
              <w:left w:w="57" w:type="dxa"/>
            </w:tcMar>
            <w:vAlign w:val="center"/>
          </w:tcPr>
          <w:p>
            <w:pPr>
              <w:rPr>
                <w:rFonts w:hint="eastAsia" w:ascii="宋体"/>
                <w:sz w:val="24"/>
                <w:szCs w:val="24"/>
              </w:rPr>
            </w:pPr>
          </w:p>
        </w:tc>
        <w:tc>
          <w:tcPr>
            <w:tcW w:w="1020" w:type="dxa"/>
            <w:vMerge w:val="continue"/>
            <w:tcBorders>
              <w:top w:val="single" w:color="000000" w:sz="6" w:space="0"/>
              <w:left w:val="single" w:color="000000" w:sz="6" w:space="0"/>
              <w:bottom w:val="single" w:color="000000" w:sz="6" w:space="0"/>
              <w:right w:val="nil"/>
            </w:tcBorders>
            <w:shd w:val="clear"/>
            <w:tcMar>
              <w:left w:w="57" w:type="dxa"/>
            </w:tcMar>
            <w:vAlign w:val="center"/>
          </w:tcPr>
          <w:p>
            <w:pPr>
              <w:rPr>
                <w:rFonts w:hint="eastAsia" w:ascii="宋体"/>
                <w:sz w:val="24"/>
                <w:szCs w:val="24"/>
              </w:rPr>
            </w:pPr>
          </w:p>
        </w:tc>
        <w:tc>
          <w:tcPr>
            <w:tcW w:w="1440" w:type="dxa"/>
            <w:vMerge w:val="continue"/>
            <w:tcBorders>
              <w:top w:val="single" w:color="000000" w:sz="6" w:space="0"/>
              <w:left w:val="single" w:color="000000" w:sz="6" w:space="0"/>
              <w:bottom w:val="single" w:color="000000" w:sz="6" w:space="0"/>
              <w:right w:val="nil"/>
            </w:tcBorders>
            <w:shd w:val="clear"/>
            <w:tcMar>
              <w:left w:w="57" w:type="dxa"/>
            </w:tcMar>
            <w:vAlign w:val="center"/>
          </w:tcPr>
          <w:p>
            <w:pPr>
              <w:rPr>
                <w:rFonts w:hint="eastAsia" w:ascii="宋体"/>
                <w:sz w:val="24"/>
                <w:szCs w:val="24"/>
              </w:rPr>
            </w:pP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黑体" w:hAnsi="宋体" w:eastAsia="黑体" w:cs="黑体"/>
                <w:sz w:val="24"/>
                <w:szCs w:val="24"/>
              </w:rPr>
              <w:t>预计</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0"/>
              <w:ind w:left="0" w:right="0"/>
              <w:jc w:val="center"/>
              <w:rPr>
                <w:sz w:val="19"/>
                <w:szCs w:val="19"/>
              </w:rPr>
            </w:pPr>
            <w:r>
              <w:rPr>
                <w:rFonts w:hint="eastAsia" w:ascii="黑体" w:hAnsi="宋体" w:eastAsia="黑体" w:cs="黑体"/>
                <w:sz w:val="24"/>
                <w:szCs w:val="24"/>
              </w:rPr>
              <w:t>比上年实际</w:t>
            </w:r>
          </w:p>
          <w:p>
            <w:pPr>
              <w:pStyle w:val="9"/>
              <w:keepNext w:val="0"/>
              <w:keepLines w:val="0"/>
              <w:widowControl/>
              <w:suppressLineNumbers w:val="0"/>
              <w:spacing w:before="0" w:beforeAutospacing="1" w:after="0" w:afterAutospacing="1"/>
              <w:ind w:left="0" w:right="0"/>
              <w:jc w:val="center"/>
              <w:rPr>
                <w:sz w:val="19"/>
                <w:szCs w:val="19"/>
              </w:rPr>
            </w:pPr>
            <w:r>
              <w:rPr>
                <w:rFonts w:hint="eastAsia" w:ascii="黑体" w:hAnsi="宋体" w:eastAsia="黑体" w:cs="黑体"/>
                <w:sz w:val="24"/>
                <w:szCs w:val="24"/>
              </w:rPr>
              <w:t>增长（%）</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黑体" w:hAnsi="宋体" w:eastAsia="黑体" w:cs="黑体"/>
                <w:sz w:val="24"/>
                <w:szCs w:val="24"/>
              </w:rPr>
              <w:t>预期</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黑体" w:hAnsi="宋体" w:eastAsia="黑体" w:cs="黑体"/>
                <w:sz w:val="24"/>
                <w:szCs w:val="24"/>
              </w:rPr>
              <w:t>比上年预计增长（%）</w:t>
            </w:r>
          </w:p>
        </w:tc>
        <w:tc>
          <w:tcPr>
            <w:tcW w:w="855" w:type="dxa"/>
            <w:vMerge w:val="continue"/>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一、本地区生产总值</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3121.05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3240.5</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3.8</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3560</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8.5左右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其中：第一产业</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212.05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228.56</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2.0</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3.0左右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第二产业</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1509.81</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1534.1</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3.6</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8.5左右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第三产业</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1399.19</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1477.84</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4.3</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9.0左右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二、财政总收入</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541.59</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545.3</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0.7</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578</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一般公共预算收入</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283.86</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286.4</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0.9</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300.7</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地方本级政府性基金收入</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35.82</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40.9</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14.2</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其中：国有土地使用权出让收入</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31.99</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34.6</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8.16</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地方国有资本经营预算收入</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2.2</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-12</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税收收入占财政总收入比重</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84.25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82.41</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pacing w:val="-12"/>
                <w:sz w:val="19"/>
                <w:szCs w:val="19"/>
              </w:rPr>
            </w:pPr>
            <w:r>
              <w:rPr>
                <w:rFonts w:hint="eastAsia" w:ascii="仿宋_GB2312" w:eastAsia="仿宋_GB2312" w:cs="仿宋_GB2312"/>
                <w:spacing w:val="-12"/>
                <w:sz w:val="18"/>
                <w:szCs w:val="18"/>
              </w:rPr>
              <w:t>下降1.16个百分点</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三、固定资产投资</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8.7</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9.0</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其中：第一产业</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-14.5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0.5</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1.1左右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第二产业</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4.9</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6.2</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6.3左右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第三产业</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23.1</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17.2</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16.0左右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其中：房地产开发投资</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4.4</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5.3左右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制造业投资</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4.5</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4.6左右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基础设施投资</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91.1</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4.6</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4.6左右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四、消费</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社会消费品零售总额</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1160.7</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1196.1</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3.1</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1309.7</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9.5左右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居民消费价格总指数</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r>
              <w:rPr>
                <w:rFonts w:hint="eastAsia" w:ascii="仿宋_GB2312" w:eastAsia="仿宋_GB2312" w:cs="仿宋_GB2312"/>
                <w:sz w:val="19"/>
                <w:szCs w:val="19"/>
              </w:rPr>
              <w:t>（上年=100）</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2.6</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全社会用电量</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亿千瓦时</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213.65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229.39</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7.37</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241</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#工业用电量</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亿千瓦时</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152.47</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167.01</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9.53</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177.06</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五、进出口总额</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349.71</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448.69</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28.3</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475.6</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其中：进口</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58.53</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75</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28.13</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80</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6.67</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出口</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291.18</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372.51</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27.9</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394.8</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六、利用“三外”资金</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利用省外2000万以上项目资金</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0"/>
              <w:ind w:left="0" w:right="0"/>
              <w:jc w:val="center"/>
              <w:rPr>
                <w:sz w:val="19"/>
                <w:szCs w:val="19"/>
              </w:rPr>
            </w:pPr>
            <w:r>
              <w:rPr>
                <w:rFonts w:hint="eastAsia" w:ascii="仿宋_GB2312" w:eastAsia="仿宋_GB2312" w:cs="仿宋_GB2312"/>
                <w:sz w:val="24"/>
                <w:szCs w:val="24"/>
              </w:rPr>
              <w:t>1041.53</w:t>
            </w:r>
          </w:p>
          <w:p>
            <w:pPr>
              <w:pStyle w:val="9"/>
              <w:keepNext w:val="0"/>
              <w:keepLines w:val="0"/>
              <w:widowControl/>
              <w:suppressLineNumbers w:val="0"/>
              <w:spacing w:before="0" w:beforeAutospacing="1" w:after="0" w:afterAutospacing="1"/>
              <w:ind w:left="0" w:right="0"/>
              <w:jc w:val="center"/>
              <w:rPr>
                <w:sz w:val="19"/>
                <w:szCs w:val="19"/>
              </w:rPr>
            </w:pP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1134.81</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1225.6</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实际利用外商直接投资</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亿美元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23.47</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25.24</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7.55</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27</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7左右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对外直接投资额</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亿美元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0.01</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0.16</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1330</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0.17</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6.25</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对外承包工程营业额</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亿美元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1.6</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1.6</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持平</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1.6</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持平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七、工业化水平</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规模以上工业增加值（总量改为增幅）</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8.4</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4.2</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8.8左右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规模以下工业增加值（总量改为增幅）</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7.6</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7.7</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规模以上工业战略性新兴产业增加值增速</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*开发区主营业务收入</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4833.46</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4900</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3左右</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5200</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八、服务业发展</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规模以上服务业企业营业收入</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234.26</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279.32</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13.6</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12</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金融机构人民币存款余额</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3809</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4157</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9.14</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4572</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金融机构人民币贷款余额</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2933</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3503</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19.43</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4098</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17</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其中：制造业贷款余额</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129.3</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189.6</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46.6</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237</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25</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电信业业务收入</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31.33</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32.18</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2.71</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33.74</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4.84</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邮政业业务收入</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10.31</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11.77</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14.16</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13.53</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14.95</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文化产业主营业务收入</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298.54</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310.41</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3.9</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325</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网络零售额</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80.84</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116.59</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44.22</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130</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20</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公路货运周转量</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万吨公里</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3047918</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3285327</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6.38</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3416740</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保费收入</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67.24</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75.59</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12.41</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85.03</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12.5</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九、城市化水平</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常住人口城镇化率</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56.78</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58.3</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18"/>
                <w:szCs w:val="18"/>
              </w:rPr>
              <w:t>提高1.52个百分点</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59.6</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18"/>
                <w:szCs w:val="18"/>
              </w:rPr>
              <w:t>提高1.3个百分点</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户籍人口城镇化率</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38.82</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39.37</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18"/>
                <w:szCs w:val="18"/>
              </w:rPr>
              <w:t>提高0.55个百分点</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40</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18"/>
                <w:szCs w:val="18"/>
              </w:rPr>
              <w:t>提高0.63个百分点</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设区市政府所在城区常住人口数</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万人</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104.15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106.0</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18"/>
                <w:szCs w:val="18"/>
              </w:rPr>
              <w:t>增加1.85万人</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107.5</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18"/>
                <w:szCs w:val="18"/>
              </w:rPr>
              <w:t>增加1.5万人</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设区市政府所在城区铺装道路面积</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万平方米</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733</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909</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24</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936</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设区市政府所在城区公共绿地面积</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万平方米</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6912.94</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7049.92</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1.98</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7134.52</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1.2</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十、信息化</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电子信息产业销售收入</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亿元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537</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680</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800</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17.6</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年末移动电话装机数（手机）</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万部</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437.63</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477.0</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9.0</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483.6</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1.4</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互联网用户数（宽带）</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万户</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156.83</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199.59</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27.26</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217.5</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有线电视用户数</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万户</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41.9</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39.8</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37.8</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十一、交通</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铁路新建及改扩建里程</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千米</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496.8（累计）</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17.2</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81.2</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高速公路建设里程</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千米</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27.3</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18"/>
                <w:szCs w:val="18"/>
              </w:rPr>
              <w:t>武通高速27.3km还在建设中</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国、省道公路新建及改扩建里程</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千米</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35.31</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20.12</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-43.02</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19.12</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-4.97</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十二、人民生活</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城镇居民人均可支配收入</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38076</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40337</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5.9</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43765.6</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8.5左右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农村居民人均可支配收入</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15772</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17051</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8.1</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18585.6</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9左右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职工平均工资</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元</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77121</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81000</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5.0</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85860</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6.0</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行政村道路硬化率</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100</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100</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持平</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100</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持平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农村实际使用沼气户数</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万个</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12.96</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12.6</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-2.78</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12.3</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-2.38</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十三、人口、就业</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人口自然增长率</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sz w:val="19"/>
                <w:szCs w:val="19"/>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6.63</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5.84</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18"/>
                <w:szCs w:val="18"/>
              </w:rPr>
              <w:t>下降0.79个千分点</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5.72</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18"/>
                <w:szCs w:val="18"/>
              </w:rPr>
              <w:t>下降0.12个千分点</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城镇新增就业人数</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万人</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5.2</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4.46</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城镇登记失业率</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3.18</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sz w:val="19"/>
                <w:szCs w:val="19"/>
              </w:rPr>
              <w:t>≤</w:t>
            </w:r>
            <w:r>
              <w:rPr>
                <w:rFonts w:hint="eastAsia" w:ascii="仿宋_GB2312" w:eastAsia="仿宋_GB2312" w:cs="仿宋_GB2312"/>
                <w:sz w:val="24"/>
                <w:szCs w:val="24"/>
              </w:rPr>
              <w:t>4.5</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sz w:val="19"/>
                <w:szCs w:val="19"/>
              </w:rPr>
              <w:t>≤</w:t>
            </w:r>
            <w:r>
              <w:rPr>
                <w:rFonts w:hint="eastAsia" w:ascii="仿宋_GB2312" w:eastAsia="仿宋_GB2312" w:cs="仿宋_GB2312"/>
                <w:sz w:val="24"/>
                <w:szCs w:val="24"/>
              </w:rPr>
              <w:t>4.5</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十四、安全生产</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pacing w:val="-6"/>
                <w:sz w:val="19"/>
                <w:szCs w:val="19"/>
              </w:rPr>
            </w:pPr>
            <w:r>
              <w:rPr>
                <w:rFonts w:hint="eastAsia" w:ascii="仿宋_GB2312" w:eastAsia="仿宋_GB2312" w:cs="仿宋_GB2312"/>
                <w:spacing w:val="-6"/>
                <w:sz w:val="24"/>
                <w:szCs w:val="24"/>
              </w:rPr>
              <w:t>工矿商贸企业就业人员生产安全事故死亡人数</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人</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43</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34</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-20.9</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33</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-2.9</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十五、人民防空</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防空地下设施新增面积</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万平方米</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15.5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19.1</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23.22</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15.5</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-18.8</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十六、劳动生产率</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元/人</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101096</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106840</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115131</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十七、全市公共租赁住房开工量</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万套</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0.4235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0.06</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-85.8</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0.0949</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58.16</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十八、农村扶贫开发</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1.扶贫指标待国家确定后再报送</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万人</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5.75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1.49</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2.建成高标准农田</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万亩</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26.4375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30.831</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16.62</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37.1</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20.33</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3.县乡村公路建设</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公里</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1351</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520</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-61.5</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500</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-3.8</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4.农村危旧房改造户数</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万户</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0.4182</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0.0445</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-89.35</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0.0122</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-72.58</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5.农村劳动力培训人次</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万人次</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4.8</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37.14</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-16.67</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0"/>
              <w:ind w:left="0" w:right="0"/>
              <w:jc w:val="left"/>
              <w:rPr>
                <w:sz w:val="19"/>
                <w:szCs w:val="19"/>
              </w:rPr>
            </w:pPr>
            <w:r>
              <w:rPr>
                <w:rFonts w:hint="eastAsia" w:ascii="黑体" w:hAnsi="宋体" w:eastAsia="黑体" w:cs="黑体"/>
                <w:sz w:val="24"/>
                <w:szCs w:val="24"/>
              </w:rPr>
              <w:t>十九、资源节约</w:t>
            </w:r>
          </w:p>
          <w:p>
            <w:pPr>
              <w:pStyle w:val="9"/>
              <w:keepNext w:val="0"/>
              <w:keepLines w:val="0"/>
              <w:widowControl/>
              <w:suppressLineNumbers w:val="0"/>
              <w:spacing w:before="0" w:beforeAutospacing="1" w:after="0" w:afterAutospacing="0"/>
              <w:ind w:left="0" w:right="0"/>
              <w:jc w:val="left"/>
              <w:rPr>
                <w:sz w:val="19"/>
                <w:szCs w:val="19"/>
              </w:rPr>
            </w:pPr>
            <w:r>
              <w:rPr>
                <w:rStyle w:val="12"/>
                <w:rFonts w:hint="eastAsia" w:ascii="仿宋_GB2312" w:eastAsia="仿宋_GB2312" w:cs="仿宋_GB2312"/>
                <w:sz w:val="24"/>
                <w:szCs w:val="24"/>
              </w:rPr>
              <w:t>十九、资源节约</w:t>
            </w:r>
          </w:p>
          <w:p>
            <w:pPr>
              <w:pStyle w:val="9"/>
              <w:keepNext w:val="0"/>
              <w:keepLines w:val="0"/>
              <w:widowControl/>
              <w:suppressLineNumbers w:val="0"/>
              <w:spacing w:before="0" w:beforeAutospacing="1" w:after="0" w:afterAutospacing="1"/>
              <w:ind w:left="0" w:right="0"/>
              <w:jc w:val="left"/>
              <w:rPr>
                <w:sz w:val="19"/>
                <w:szCs w:val="19"/>
              </w:rPr>
            </w:pP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1.能源消费总量</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万吨标准煤</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1421.14</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1486.57</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4.6</w:t>
            </w:r>
          </w:p>
        </w:tc>
        <w:tc>
          <w:tcPr>
            <w:tcW w:w="2265" w:type="dxa"/>
            <w:gridSpan w:val="2"/>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省下达的任务</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2.每万元生产总值能耗</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吨标准煤</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0.4801</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0.4791</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-0.2</w:t>
            </w:r>
          </w:p>
        </w:tc>
        <w:tc>
          <w:tcPr>
            <w:tcW w:w="2265" w:type="dxa"/>
            <w:gridSpan w:val="2"/>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省下达的任务</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3.每万元工业增加值能耗增幅</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w:t>
            </w:r>
          </w:p>
        </w:tc>
        <w:tc>
          <w:tcPr>
            <w:tcW w:w="2265" w:type="dxa"/>
            <w:gridSpan w:val="2"/>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省下达的任务</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4.每万元生产总值二氧化碳排放量</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吨二氧化碳</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1.04</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1.01</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w:t>
            </w:r>
          </w:p>
        </w:tc>
        <w:tc>
          <w:tcPr>
            <w:tcW w:w="2265" w:type="dxa"/>
            <w:gridSpan w:val="2"/>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省下达的任务</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5.每万元生产总值用水量</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万元/立方米</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91</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85</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-6.6</w:t>
            </w:r>
          </w:p>
        </w:tc>
        <w:tc>
          <w:tcPr>
            <w:tcW w:w="2265" w:type="dxa"/>
            <w:gridSpan w:val="2"/>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省下达的任务</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6.每万元工业增加值用水量</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万元/立方米</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67</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65</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-3.0</w:t>
            </w:r>
          </w:p>
        </w:tc>
        <w:tc>
          <w:tcPr>
            <w:tcW w:w="2265" w:type="dxa"/>
            <w:gridSpan w:val="2"/>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省下达的任务</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二十、污染物排放总量控制和污染治理</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1.化学需氧量排放量</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万吨</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6.6303</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6.591</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-0.59</w:t>
            </w:r>
          </w:p>
        </w:tc>
        <w:tc>
          <w:tcPr>
            <w:tcW w:w="2265" w:type="dxa"/>
            <w:gridSpan w:val="2"/>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省下达的任务</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2.二氧化硫排放量</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万吨</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6.85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6.73</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-1.8</w:t>
            </w:r>
          </w:p>
        </w:tc>
        <w:tc>
          <w:tcPr>
            <w:tcW w:w="2265" w:type="dxa"/>
            <w:gridSpan w:val="2"/>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省下达的任务</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3.氨氮排放量</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万吨</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0.7935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0.786</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-0.9</w:t>
            </w:r>
          </w:p>
        </w:tc>
        <w:tc>
          <w:tcPr>
            <w:tcW w:w="2265" w:type="dxa"/>
            <w:gridSpan w:val="2"/>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省下达的任务</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4.氮氧化物排放量</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万吨</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6.36</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6.18</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-2.8</w:t>
            </w:r>
          </w:p>
        </w:tc>
        <w:tc>
          <w:tcPr>
            <w:tcW w:w="2265" w:type="dxa"/>
            <w:gridSpan w:val="2"/>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省下达的任务</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5.细颗粒物（PM2.5）平均浓度</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微克/立方米</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46</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38</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-17.4</w:t>
            </w:r>
          </w:p>
        </w:tc>
        <w:tc>
          <w:tcPr>
            <w:tcW w:w="2265" w:type="dxa"/>
            <w:gridSpan w:val="2"/>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省下达的任务</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6.城市生活污水集中处理率</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97.21</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98.1</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0.92</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98.5</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0.39</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7.城市生活垃圾无害化处理率</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100</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100</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持平</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100</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持平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黑体" w:hAnsi="宋体" w:eastAsia="黑体" w:cs="黑体"/>
                <w:sz w:val="24"/>
                <w:szCs w:val="24"/>
              </w:rPr>
              <w:t>二十一、生产环境保护与建设</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1.新增造林合格面积</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万亩</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9.51</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7.69</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-19.13</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7.69</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持平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2.新增水土流失综合治理面积</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万公顷</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1.3385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1.2195</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-8.89</w:t>
            </w:r>
          </w:p>
        </w:tc>
        <w:tc>
          <w:tcPr>
            <w:tcW w:w="2265" w:type="dxa"/>
            <w:gridSpan w:val="2"/>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省下达的任务</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3.矿山生态恢复面积</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万公顷</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0.03</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0.03</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持平</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0.016</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-50</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4.主要河流断面优质水率</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100</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100</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持平</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100</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持平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5.劣V类水体比例</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持平</w:t>
            </w:r>
          </w:p>
        </w:tc>
        <w:tc>
          <w:tcPr>
            <w:tcW w:w="87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0</w:t>
            </w:r>
          </w:p>
        </w:tc>
        <w:tc>
          <w:tcPr>
            <w:tcW w:w="129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持平</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35" w:hRule="atLeast"/>
          <w:jc w:val="center"/>
        </w:trPr>
        <w:tc>
          <w:tcPr>
            <w:tcW w:w="466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left"/>
              <w:rPr>
                <w:sz w:val="19"/>
                <w:szCs w:val="19"/>
              </w:rPr>
            </w:pPr>
            <w:r>
              <w:rPr>
                <w:rFonts w:hint="eastAsia" w:ascii="仿宋_GB2312" w:eastAsia="仿宋_GB2312" w:cs="仿宋_GB2312"/>
                <w:sz w:val="24"/>
                <w:szCs w:val="24"/>
              </w:rPr>
              <w:t>6.空气质量优良天数比例</w:t>
            </w:r>
          </w:p>
        </w:tc>
        <w:tc>
          <w:tcPr>
            <w:tcW w:w="102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w:t>
            </w:r>
          </w:p>
        </w:tc>
        <w:tc>
          <w:tcPr>
            <w:tcW w:w="144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82.5</w:t>
            </w:r>
          </w:p>
        </w:tc>
        <w:tc>
          <w:tcPr>
            <w:tcW w:w="1080"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87.2</w:t>
            </w:r>
          </w:p>
        </w:tc>
        <w:tc>
          <w:tcPr>
            <w:tcW w:w="1395" w:type="dxa"/>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18"/>
                <w:szCs w:val="18"/>
              </w:rPr>
              <w:t>提高4.7个百分点</w:t>
            </w:r>
          </w:p>
        </w:tc>
        <w:tc>
          <w:tcPr>
            <w:tcW w:w="2265" w:type="dxa"/>
            <w:gridSpan w:val="2"/>
            <w:tcBorders>
              <w:top w:val="single" w:color="000000" w:sz="6" w:space="0"/>
              <w:left w:val="single" w:color="000000" w:sz="6" w:space="0"/>
              <w:bottom w:val="single" w:color="000000" w:sz="6" w:space="0"/>
              <w:right w:val="nil"/>
            </w:tcBorders>
            <w:shd w:val="clear"/>
            <w:tcMar>
              <w:lef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r>
              <w:rPr>
                <w:rFonts w:hint="eastAsia" w:ascii="仿宋_GB2312" w:eastAsia="仿宋_GB2312" w:cs="仿宋_GB2312"/>
                <w:sz w:val="24"/>
                <w:szCs w:val="24"/>
              </w:rPr>
              <w:t>省下达的任务</w:t>
            </w:r>
          </w:p>
        </w:tc>
        <w:tc>
          <w:tcPr>
            <w:tcW w:w="855" w:type="dxa"/>
            <w:tcBorders>
              <w:top w:val="single" w:color="000000" w:sz="6" w:space="0"/>
              <w:left w:val="single" w:color="000000" w:sz="6" w:space="0"/>
              <w:bottom w:val="single" w:color="000000" w:sz="6" w:space="0"/>
              <w:right w:val="single" w:color="000000" w:sz="6" w:space="0"/>
            </w:tcBorders>
            <w:shd w:val="clear"/>
            <w:tcMar>
              <w:left w:w="57" w:type="dxa"/>
              <w:right w:w="57" w:type="dxa"/>
            </w:tcMar>
            <w:vAlign w:val="center"/>
          </w:tcPr>
          <w:p>
            <w:pPr>
              <w:pStyle w:val="9"/>
              <w:keepNext w:val="0"/>
              <w:keepLines w:val="0"/>
              <w:widowControl/>
              <w:suppressLineNumbers w:val="0"/>
              <w:spacing w:before="0" w:beforeAutospacing="1" w:after="0" w:afterAutospacing="1"/>
              <w:ind w:left="0" w:right="0"/>
              <w:jc w:val="center"/>
              <w:rPr>
                <w:sz w:val="19"/>
                <w:szCs w:val="19"/>
              </w:rPr>
            </w:pPr>
          </w:p>
        </w:tc>
      </w:tr>
    </w:tbl>
    <w:p>
      <w:pPr>
        <w:pStyle w:val="16"/>
        <w:spacing w:line="576" w:lineRule="exact"/>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17F82695"/>
    <w:rsid w:val="22440422"/>
    <w:rsid w:val="246B7AE7"/>
    <w:rsid w:val="31A15F24"/>
    <w:rsid w:val="31DF424A"/>
    <w:rsid w:val="38D011F2"/>
    <w:rsid w:val="39A232A0"/>
    <w:rsid w:val="3B5A6BBB"/>
    <w:rsid w:val="3B94211E"/>
    <w:rsid w:val="3EDA13A6"/>
    <w:rsid w:val="42F058B7"/>
    <w:rsid w:val="436109F6"/>
    <w:rsid w:val="441A38D4"/>
    <w:rsid w:val="44995AAD"/>
    <w:rsid w:val="451505FD"/>
    <w:rsid w:val="4BC77339"/>
    <w:rsid w:val="4C9236C5"/>
    <w:rsid w:val="4E8B286D"/>
    <w:rsid w:val="52446A29"/>
    <w:rsid w:val="52F46F0B"/>
    <w:rsid w:val="54BE3820"/>
    <w:rsid w:val="55E064E0"/>
    <w:rsid w:val="608816D1"/>
    <w:rsid w:val="6D0E3F22"/>
    <w:rsid w:val="7A902E34"/>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6">
    <w:name w:val="Body Text"/>
    <w:basedOn w:val="1"/>
    <w:qFormat/>
    <w:uiPriority w:val="0"/>
    <w:pPr>
      <w:spacing w:after="120" w:afterLines="0" w:afterAutospacing="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uiPriority w:val="0"/>
    <w:rPr>
      <w:color w:val="0000FF"/>
      <w:u w:val="single"/>
    </w:rPr>
  </w:style>
  <w:style w:type="paragraph" w:customStyle="1" w:styleId="14">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5">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6">
    <w:name w:val="UserStyle_0"/>
    <w:basedOn w:val="1"/>
    <w:qFormat/>
    <w:uiPriority w:val="0"/>
    <w:pPr>
      <w:widowControl/>
      <w:textAlignment w:val="baseline"/>
    </w:pPr>
    <w:rPr>
      <w:rFonts w:ascii="Times New Roman" w:hAnsi="Times New Roman"/>
      <w:kern w:val="0"/>
      <w:szCs w:val="21"/>
    </w:rPr>
  </w:style>
  <w:style w:type="paragraph" w:customStyle="1" w:styleId="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2670</Words>
  <Characters>2997</Characters>
  <Lines>0</Lines>
  <Paragraphs>0</Paragraphs>
  <TotalTime>18</TotalTime>
  <ScaleCrop>false</ScaleCrop>
  <LinksUpToDate>false</LinksUpToDate>
  <CharactersWithSpaces>2997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2021-11-30T07:12:42Z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E610F18E475648F897B9D913FE68B93A</vt:lpwstr>
  </property>
</Properties>
</file>