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widowControl/>
        <w:spacing w:line="23" w:lineRule="atLeast"/>
        <w:rPr>
          <w:rFonts w:ascii="方正小标宋简体" w:hAnsi="方正小标宋简体" w:eastAsia="方正小标宋简体" w:cs="方正小标宋简体"/>
          <w:sz w:val="30"/>
          <w:szCs w:val="30"/>
          <w:shd w:val="clear" w:color="auto" w:fill="FFFFFF"/>
        </w:rPr>
      </w:pPr>
      <w:r>
        <w:rPr>
          <w:rFonts w:hint="eastAsia" w:ascii="黑体" w:hAnsi="黑体" w:eastAsia="黑体" w:cs="黑体"/>
          <w:sz w:val="32"/>
          <w:szCs w:val="32"/>
          <w:shd w:val="clear" w:color="auto" w:fill="FFFFFF"/>
        </w:rPr>
        <w:t>附件1</w:t>
      </w:r>
    </w:p>
    <w:p>
      <w:pPr>
        <w:pStyle w:val="6"/>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shd w:val="clear" w:color="auto" w:fill="FFFFFF"/>
        </w:rPr>
      </w:pPr>
      <w:r>
        <w:rPr>
          <w:rFonts w:hint="eastAsia" w:ascii="方正小标宋简体" w:hAnsi="方正小标宋简体" w:eastAsia="方正小标宋简体" w:cs="方正小标宋简体"/>
          <w:sz w:val="44"/>
          <w:szCs w:val="44"/>
          <w:shd w:val="clear" w:color="auto" w:fill="FFFFFF"/>
        </w:rPr>
        <w:t>全市生产经营单位事故防范能力提升</w:t>
      </w:r>
    </w:p>
    <w:p>
      <w:pPr>
        <w:pStyle w:val="6"/>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shd w:val="clear" w:color="auto" w:fill="FFFFFF"/>
        </w:rPr>
      </w:pPr>
      <w:bookmarkStart w:id="0" w:name="_GoBack"/>
      <w:r>
        <w:rPr>
          <w:rFonts w:hint="eastAsia" w:ascii="方正小标宋简体" w:hAnsi="方正小标宋简体" w:eastAsia="方正小标宋简体" w:cs="方正小标宋简体"/>
          <w:sz w:val="44"/>
          <w:szCs w:val="44"/>
          <w:shd w:val="clear" w:color="auto" w:fill="FFFFFF"/>
        </w:rPr>
        <w:t>——双重预防机制图文详解</w:t>
      </w:r>
      <w:bookmarkEnd w:id="0"/>
    </w:p>
    <w:p>
      <w:pPr>
        <w:pStyle w:val="6"/>
        <w:widowControl/>
        <w:rPr>
          <w:rStyle w:val="11"/>
          <w:rFonts w:hint="eastAsia" w:ascii="微软雅黑" w:hAnsi="微软雅黑" w:eastAsia="微软雅黑" w:cs="微软雅黑"/>
          <w:sz w:val="28"/>
          <w:szCs w:val="28"/>
        </w:rPr>
      </w:pPr>
    </w:p>
    <w:p>
      <w:pPr>
        <w:pStyle w:val="6"/>
        <w:widowControl/>
        <w:rPr>
          <w:sz w:val="28"/>
          <w:szCs w:val="28"/>
        </w:rPr>
      </w:pPr>
      <w:r>
        <w:rPr>
          <w:rStyle w:val="11"/>
          <w:rFonts w:hint="eastAsia" w:ascii="微软雅黑" w:hAnsi="微软雅黑" w:eastAsia="微软雅黑" w:cs="微软雅黑"/>
          <w:sz w:val="28"/>
          <w:szCs w:val="28"/>
        </w:rPr>
        <w:t>1. 如何构建双重预防机制：</w:t>
      </w:r>
    </w:p>
    <w:p>
      <w:pPr>
        <w:widowControl/>
        <w:jc w:val="center"/>
        <w:rPr>
          <w:rStyle w:val="11"/>
          <w:rFonts w:hint="eastAsia" w:ascii="微软雅黑" w:hAnsi="微软雅黑" w:eastAsia="微软雅黑" w:cs="微软雅黑"/>
        </w:rPr>
      </w:pPr>
    </w:p>
    <w:p>
      <w:pPr>
        <w:pStyle w:val="6"/>
        <w:widowControl/>
        <w:rPr>
          <w:rStyle w:val="11"/>
          <w:rFonts w:hint="eastAsia" w:ascii="微软雅黑" w:hAnsi="微软雅黑" w:eastAsia="微软雅黑" w:cs="微软雅黑"/>
          <w:sz w:val="28"/>
          <w:szCs w:val="28"/>
        </w:rPr>
      </w:pPr>
      <w:r>
        <w:drawing>
          <wp:anchor distT="0" distB="0" distL="114300" distR="114300" simplePos="0" relativeHeight="251662336" behindDoc="0" locked="0" layoutInCell="1" allowOverlap="1">
            <wp:simplePos x="0" y="0"/>
            <wp:positionH relativeFrom="column">
              <wp:posOffset>175260</wp:posOffset>
            </wp:positionH>
            <wp:positionV relativeFrom="paragraph">
              <wp:posOffset>238760</wp:posOffset>
            </wp:positionV>
            <wp:extent cx="5100320" cy="4747260"/>
            <wp:effectExtent l="0" t="0" r="5080" b="15240"/>
            <wp:wrapNone/>
            <wp:docPr id="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pic:cNvPicPr>
                      <a:picLocks noChangeAspect="1"/>
                    </pic:cNvPicPr>
                  </pic:nvPicPr>
                  <pic:blipFill>
                    <a:blip r:embed="rId6"/>
                    <a:stretch>
                      <a:fillRect/>
                    </a:stretch>
                  </pic:blipFill>
                  <pic:spPr>
                    <a:xfrm>
                      <a:off x="0" y="0"/>
                      <a:ext cx="5100320" cy="4747260"/>
                    </a:xfrm>
                    <a:prstGeom prst="rect">
                      <a:avLst/>
                    </a:prstGeom>
                    <a:noFill/>
                    <a:ln>
                      <a:noFill/>
                    </a:ln>
                  </pic:spPr>
                </pic:pic>
              </a:graphicData>
            </a:graphic>
          </wp:anchor>
        </w:drawing>
      </w: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lang w:eastAsia="zh-CN"/>
        </w:rPr>
      </w:pPr>
    </w:p>
    <w:p>
      <w:pPr>
        <w:pStyle w:val="6"/>
        <w:widowControl/>
        <w:rPr>
          <w:sz w:val="28"/>
          <w:szCs w:val="28"/>
        </w:rPr>
      </w:pPr>
      <w:r>
        <w:rPr>
          <w:rStyle w:val="11"/>
          <w:rFonts w:hint="eastAsia" w:ascii="微软雅黑" w:hAnsi="微软雅黑" w:eastAsia="微软雅黑" w:cs="微软雅黑"/>
          <w:sz w:val="28"/>
          <w:szCs w:val="28"/>
        </w:rPr>
        <w:t>2. 双重预防机制内容：</w:t>
      </w:r>
    </w:p>
    <w:p>
      <w:pPr>
        <w:pStyle w:val="6"/>
        <w:widowControl/>
        <w:jc w:val="center"/>
      </w:pPr>
      <w:r>
        <w:drawing>
          <wp:inline distT="0" distB="0" distL="114300" distR="114300">
            <wp:extent cx="5043170" cy="3685540"/>
            <wp:effectExtent l="0" t="0" r="508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43170" cy="3685540"/>
                    </a:xfrm>
                    <a:prstGeom prst="rect">
                      <a:avLst/>
                    </a:prstGeom>
                    <a:noFill/>
                    <a:ln>
                      <a:noFill/>
                    </a:ln>
                  </pic:spPr>
                </pic:pic>
              </a:graphicData>
            </a:graphic>
          </wp:inline>
        </w:drawing>
      </w:r>
    </w:p>
    <w:p>
      <w:pPr>
        <w:pStyle w:val="6"/>
        <w:widowControl/>
        <w:rPr>
          <w:sz w:val="28"/>
          <w:szCs w:val="28"/>
        </w:rPr>
      </w:pPr>
      <w:r>
        <w:rPr>
          <w:rStyle w:val="11"/>
          <w:rFonts w:hint="eastAsia" w:ascii="微软雅黑" w:hAnsi="微软雅黑" w:eastAsia="微软雅黑" w:cs="微软雅黑"/>
          <w:sz w:val="28"/>
          <w:szCs w:val="28"/>
        </w:rPr>
        <w:t>3.风险分级管控体系与隐患排查治理体系的关系：</w:t>
      </w:r>
    </w:p>
    <w:p>
      <w:pPr>
        <w:pStyle w:val="6"/>
        <w:widowControl/>
        <w:rPr>
          <w:sz w:val="28"/>
          <w:szCs w:val="28"/>
        </w:rPr>
      </w:pPr>
      <w:r>
        <w:rPr>
          <w:rFonts w:hint="eastAsia" w:ascii="微软雅黑" w:hAnsi="微软雅黑" w:eastAsia="微软雅黑" w:cs="微软雅黑"/>
          <w:sz w:val="28"/>
          <w:szCs w:val="28"/>
        </w:rPr>
        <w:t>·风险分级管控体系是隐患排查治理体系的“基础”。</w:t>
      </w:r>
    </w:p>
    <w:p>
      <w:pPr>
        <w:rPr>
          <w:rFonts w:hint="eastAsia" w:ascii="微软雅黑" w:hAnsi="微软雅黑" w:eastAsia="微软雅黑" w:cs="微软雅黑"/>
          <w:sz w:val="28"/>
          <w:szCs w:val="28"/>
        </w:rPr>
      </w:pPr>
      <w:r>
        <w:rPr>
          <w:rFonts w:hint="eastAsia" w:ascii="微软雅黑" w:hAnsi="微软雅黑" w:eastAsia="微软雅黑" w:cs="微软雅黑"/>
          <w:sz w:val="28"/>
          <w:szCs w:val="28"/>
        </w:rPr>
        <w:t>·根据风险分级管控体系的要求，企业组织实施风险点识别、危险源辨识、风险评价、典型措施制定和风险分级，确定</w:t>
      </w:r>
      <w:r>
        <w:rPr>
          <w:rStyle w:val="11"/>
          <w:rFonts w:hint="eastAsia" w:ascii="微软雅黑" w:hAnsi="微软雅黑" w:eastAsia="微软雅黑" w:cs="微软雅黑"/>
          <w:sz w:val="28"/>
          <w:szCs w:val="28"/>
        </w:rPr>
        <w:t>风险点、危险源</w:t>
      </w:r>
      <w:r>
        <w:rPr>
          <w:rFonts w:hint="eastAsia" w:ascii="微软雅黑" w:hAnsi="微软雅黑" w:eastAsia="微软雅黑" w:cs="微软雅黑"/>
          <w:sz w:val="28"/>
          <w:szCs w:val="28"/>
        </w:rPr>
        <w:t>为隐患排查的</w:t>
      </w:r>
      <w:r>
        <w:rPr>
          <w:rStyle w:val="11"/>
          <w:rFonts w:hint="eastAsia" w:ascii="微软雅黑" w:hAnsi="微软雅黑" w:eastAsia="微软雅黑" w:cs="微软雅黑"/>
          <w:sz w:val="28"/>
          <w:szCs w:val="28"/>
        </w:rPr>
        <w:t>对象</w:t>
      </w:r>
      <w:r>
        <w:rPr>
          <w:rFonts w:hint="eastAsia" w:ascii="微软雅黑" w:hAnsi="微软雅黑" w:eastAsia="微软雅黑" w:cs="微软雅黑"/>
          <w:sz w:val="28"/>
          <w:szCs w:val="28"/>
        </w:rPr>
        <w:t>，即“排查点”。</w:t>
      </w:r>
    </w:p>
    <w:p>
      <w:pPr>
        <w:pStyle w:val="6"/>
        <w:widowControl/>
        <w:rPr>
          <w:rFonts w:hint="eastAsia" w:ascii="微软雅黑" w:hAnsi="微软雅黑" w:eastAsia="微软雅黑" w:cs="微软雅黑"/>
          <w:sz w:val="28"/>
          <w:szCs w:val="28"/>
        </w:rPr>
      </w:pPr>
      <w:r>
        <w:rPr>
          <w:rFonts w:hint="eastAsia" w:ascii="微软雅黑" w:hAnsi="微软雅黑" w:eastAsia="微软雅黑" w:cs="微软雅黑"/>
          <w:sz w:val="28"/>
          <w:szCs w:val="28"/>
        </w:rPr>
        <w:t>·通过隐患排查，可能发现新的风险点、危险源，进而对风险点和危险源信息进行补充和完善。</w:t>
      </w:r>
    </w:p>
    <w:p>
      <w:pPr>
        <w:pStyle w:val="6"/>
        <w:widowControl/>
        <w:rPr>
          <w:rFonts w:hint="eastAsia" w:ascii="微软雅黑" w:hAnsi="微软雅黑" w:eastAsia="微软雅黑" w:cs="微软雅黑"/>
          <w:sz w:val="28"/>
          <w:szCs w:val="28"/>
        </w:rPr>
      </w:pPr>
      <w:r>
        <w:drawing>
          <wp:anchor distT="0" distB="0" distL="114300" distR="114300" simplePos="0" relativeHeight="251659264" behindDoc="0" locked="0" layoutInCell="1" allowOverlap="1">
            <wp:simplePos x="0" y="0"/>
            <wp:positionH relativeFrom="column">
              <wp:posOffset>245110</wp:posOffset>
            </wp:positionH>
            <wp:positionV relativeFrom="paragraph">
              <wp:posOffset>234315</wp:posOffset>
            </wp:positionV>
            <wp:extent cx="4879975" cy="1240155"/>
            <wp:effectExtent l="0" t="0" r="15875" b="17145"/>
            <wp:wrapNone/>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4"/>
                    <pic:cNvPicPr>
                      <a:picLocks noChangeAspect="1"/>
                    </pic:cNvPicPr>
                  </pic:nvPicPr>
                  <pic:blipFill>
                    <a:blip r:embed="rId8"/>
                    <a:stretch>
                      <a:fillRect/>
                    </a:stretch>
                  </pic:blipFill>
                  <pic:spPr>
                    <a:xfrm>
                      <a:off x="0" y="0"/>
                      <a:ext cx="4879975" cy="1240155"/>
                    </a:xfrm>
                    <a:prstGeom prst="rect">
                      <a:avLst/>
                    </a:prstGeom>
                    <a:noFill/>
                    <a:ln>
                      <a:noFill/>
                    </a:ln>
                  </pic:spPr>
                </pic:pic>
              </a:graphicData>
            </a:graphic>
          </wp:anchor>
        </w:drawing>
      </w:r>
    </w:p>
    <w:p>
      <w:pPr>
        <w:pStyle w:val="6"/>
        <w:widowControl/>
        <w:jc w:val="center"/>
        <w:rPr>
          <w:sz w:val="28"/>
          <w:szCs w:val="28"/>
        </w:rPr>
      </w:pPr>
    </w:p>
    <w:p>
      <w:pPr>
        <w:pStyle w:val="2"/>
      </w:pPr>
    </w:p>
    <w:p>
      <w:pPr>
        <w:pStyle w:val="6"/>
        <w:widowControl/>
        <w:rPr>
          <w:sz w:val="28"/>
          <w:szCs w:val="28"/>
        </w:rPr>
      </w:pPr>
      <w:r>
        <w:rPr>
          <w:rStyle w:val="11"/>
          <w:rFonts w:hint="eastAsia" w:ascii="微软雅黑" w:hAnsi="微软雅黑" w:eastAsia="微软雅黑" w:cs="微软雅黑"/>
          <w:sz w:val="28"/>
          <w:szCs w:val="28"/>
        </w:rPr>
        <w:t>风险分级管控：</w:t>
      </w:r>
    </w:p>
    <w:p>
      <w:pPr>
        <w:pStyle w:val="6"/>
        <w:widowControl/>
        <w:rPr>
          <w:sz w:val="28"/>
          <w:szCs w:val="28"/>
        </w:rPr>
      </w:pPr>
      <w:r>
        <w:rPr>
          <w:rFonts w:hint="eastAsia" w:ascii="微软雅黑" w:hAnsi="微软雅黑" w:eastAsia="微软雅黑" w:cs="微软雅黑"/>
          <w:sz w:val="28"/>
          <w:szCs w:val="28"/>
        </w:rPr>
        <w:t>·</w:t>
      </w:r>
      <w:r>
        <w:rPr>
          <w:rStyle w:val="11"/>
          <w:rFonts w:hint="eastAsia" w:ascii="微软雅黑" w:hAnsi="微软雅黑" w:eastAsia="微软雅黑" w:cs="微软雅黑"/>
          <w:sz w:val="28"/>
          <w:szCs w:val="28"/>
        </w:rPr>
        <w:t>风险分级管控</w:t>
      </w:r>
      <w:r>
        <w:rPr>
          <w:rFonts w:hint="eastAsia" w:ascii="微软雅黑" w:hAnsi="微软雅黑" w:eastAsia="微软雅黑" w:cs="微软雅黑"/>
          <w:sz w:val="28"/>
          <w:szCs w:val="28"/>
        </w:rPr>
        <w:t>是指按照风险不同级别、所需管控资源、管控能力、管控措施复杂及难易程度等因素而确定不同管控层级的风险管控方式。</w:t>
      </w:r>
    </w:p>
    <w:p>
      <w:pPr>
        <w:pStyle w:val="6"/>
        <w:widowControl/>
        <w:rPr>
          <w:sz w:val="28"/>
          <w:szCs w:val="28"/>
        </w:rPr>
      </w:pPr>
      <w:r>
        <w:rPr>
          <w:rFonts w:hint="eastAsia" w:ascii="微软雅黑" w:hAnsi="微软雅黑" w:eastAsia="微软雅黑" w:cs="微软雅黑"/>
          <w:sz w:val="28"/>
          <w:szCs w:val="28"/>
        </w:rPr>
        <w:t>·风险分级管控的基本原则是：</w:t>
      </w:r>
      <w:r>
        <w:rPr>
          <w:rStyle w:val="11"/>
          <w:rFonts w:hint="eastAsia" w:ascii="微软雅黑" w:hAnsi="微软雅黑" w:eastAsia="微软雅黑" w:cs="微软雅黑"/>
          <w:sz w:val="28"/>
          <w:szCs w:val="28"/>
        </w:rPr>
        <w:t>风险越大，管控级别越高；上级负责管控的风险，下级必须负责管控，并逐级落实具体措施</w:t>
      </w:r>
      <w:r>
        <w:rPr>
          <w:rFonts w:hint="eastAsia" w:ascii="微软雅黑" w:hAnsi="微软雅黑" w:eastAsia="微软雅黑" w:cs="微软雅黑"/>
          <w:sz w:val="28"/>
          <w:szCs w:val="28"/>
        </w:rPr>
        <w:t>。</w:t>
      </w:r>
    </w:p>
    <w:p>
      <w:pPr>
        <w:pStyle w:val="6"/>
        <w:widowControl/>
        <w:rPr>
          <w:rStyle w:val="11"/>
          <w:rFonts w:hint="eastAsia" w:ascii="微软雅黑" w:hAnsi="微软雅黑" w:eastAsia="微软雅黑" w:cs="微软雅黑"/>
          <w:sz w:val="28"/>
          <w:szCs w:val="28"/>
        </w:rPr>
      </w:pPr>
      <w:r>
        <w:rPr>
          <w:rFonts w:hint="eastAsia" w:ascii="微软雅黑" w:hAnsi="微软雅黑" w:eastAsia="微软雅黑" w:cs="微软雅黑"/>
          <w:sz w:val="28"/>
          <w:szCs w:val="28"/>
        </w:rPr>
        <w:t>·</w:t>
      </w:r>
      <w:r>
        <w:rPr>
          <w:rStyle w:val="11"/>
          <w:rFonts w:hint="eastAsia" w:ascii="微软雅黑" w:hAnsi="微软雅黑" w:eastAsia="微软雅黑" w:cs="微软雅黑"/>
          <w:sz w:val="28"/>
          <w:szCs w:val="28"/>
        </w:rPr>
        <w:t>“红橙黄蓝”四级（红色最高）</w:t>
      </w:r>
    </w:p>
    <w:p>
      <w:pPr>
        <w:pStyle w:val="6"/>
        <w:widowControl/>
        <w:rPr>
          <w:sz w:val="28"/>
          <w:szCs w:val="28"/>
        </w:rPr>
      </w:pPr>
      <w:r>
        <w:rPr>
          <w:rStyle w:val="11"/>
          <w:rFonts w:hint="eastAsia" w:ascii="微软雅黑" w:hAnsi="微软雅黑" w:eastAsia="微软雅黑" w:cs="微软雅黑"/>
          <w:sz w:val="28"/>
          <w:szCs w:val="28"/>
        </w:rPr>
        <w:t>隐患排查、隐患治理、隐患信息：</w:t>
      </w:r>
    </w:p>
    <w:p>
      <w:pPr>
        <w:pStyle w:val="6"/>
        <w:widowControl/>
        <w:rPr>
          <w:sz w:val="28"/>
          <w:szCs w:val="28"/>
        </w:rPr>
      </w:pPr>
      <w:r>
        <w:rPr>
          <w:rFonts w:hint="eastAsia" w:ascii="微软雅黑" w:hAnsi="微软雅黑" w:eastAsia="微软雅黑" w:cs="微软雅黑"/>
          <w:sz w:val="28"/>
          <w:szCs w:val="28"/>
        </w:rPr>
        <w:t>·</w:t>
      </w:r>
      <w:r>
        <w:rPr>
          <w:rStyle w:val="11"/>
          <w:rFonts w:hint="eastAsia" w:ascii="微软雅黑" w:hAnsi="微软雅黑" w:eastAsia="微软雅黑" w:cs="微软雅黑"/>
          <w:sz w:val="28"/>
          <w:szCs w:val="28"/>
        </w:rPr>
        <w:t>隐患排查</w:t>
      </w:r>
      <w:r>
        <w:rPr>
          <w:rFonts w:hint="eastAsia" w:ascii="微软雅黑" w:hAnsi="微软雅黑" w:eastAsia="微软雅黑" w:cs="微软雅黑"/>
          <w:sz w:val="28"/>
          <w:szCs w:val="28"/>
        </w:rPr>
        <w:t>是指企业组织安全生产管理人员、工程技术人员和其他相关人员对本单位的事故隐患进行排查，并对排查出的事故隐患，按照事故隐患的等级进行登记，建立事故隐患信息档案的工作过程。</w:t>
      </w:r>
    </w:p>
    <w:p>
      <w:pPr>
        <w:pStyle w:val="6"/>
        <w:widowControl/>
        <w:rPr>
          <w:sz w:val="28"/>
          <w:szCs w:val="28"/>
        </w:rPr>
      </w:pPr>
      <w:r>
        <w:rPr>
          <w:rFonts w:hint="eastAsia" w:ascii="微软雅黑" w:hAnsi="微软雅黑" w:eastAsia="微软雅黑" w:cs="微软雅黑"/>
          <w:sz w:val="28"/>
          <w:szCs w:val="28"/>
        </w:rPr>
        <w:t>·</w:t>
      </w:r>
      <w:r>
        <w:rPr>
          <w:rStyle w:val="11"/>
          <w:rFonts w:hint="eastAsia" w:ascii="微软雅黑" w:hAnsi="微软雅黑" w:eastAsia="微软雅黑" w:cs="微软雅黑"/>
          <w:sz w:val="28"/>
          <w:szCs w:val="28"/>
        </w:rPr>
        <w:t>隐患治理</w:t>
      </w:r>
      <w:r>
        <w:rPr>
          <w:rFonts w:hint="eastAsia" w:ascii="微软雅黑" w:hAnsi="微软雅黑" w:eastAsia="微软雅黑" w:cs="微软雅黑"/>
          <w:sz w:val="28"/>
          <w:szCs w:val="28"/>
        </w:rPr>
        <w:t>是指消除或控制隐患的活动或过程。包括对排查出的事故隐患按照职责分工明确整改责任，制定整改计划、落实整改资金、实施监控治理和复查验收的全过程。</w:t>
      </w:r>
    </w:p>
    <w:p>
      <w:pPr>
        <w:pStyle w:val="6"/>
        <w:widowControl/>
        <w:rPr>
          <w:sz w:val="28"/>
          <w:szCs w:val="28"/>
        </w:rPr>
      </w:pPr>
      <w:r>
        <w:rPr>
          <w:rFonts w:hint="eastAsia" w:ascii="微软雅黑" w:hAnsi="微软雅黑" w:eastAsia="微软雅黑" w:cs="微软雅黑"/>
          <w:sz w:val="28"/>
          <w:szCs w:val="28"/>
        </w:rPr>
        <w:t>·</w:t>
      </w:r>
      <w:r>
        <w:rPr>
          <w:rStyle w:val="11"/>
          <w:rFonts w:hint="eastAsia" w:ascii="微软雅黑" w:hAnsi="微软雅黑" w:eastAsia="微软雅黑" w:cs="微软雅黑"/>
          <w:sz w:val="28"/>
          <w:szCs w:val="28"/>
        </w:rPr>
        <w:t>隐患信息</w:t>
      </w:r>
      <w:r>
        <w:rPr>
          <w:rFonts w:hint="eastAsia" w:ascii="微软雅黑" w:hAnsi="微软雅黑" w:eastAsia="微软雅黑" w:cs="微软雅黑"/>
          <w:sz w:val="28"/>
          <w:szCs w:val="28"/>
        </w:rPr>
        <w:t>是指包括隐患名称、位置、状态描述、可能导致后果及其严重程度、治理目标、治理措施、职责划分、治理期限等信息的总称。企业对事故隐患信息应建档管理。</w:t>
      </w:r>
    </w:p>
    <w:p>
      <w:pPr>
        <w:pStyle w:val="6"/>
        <w:widowControl/>
      </w:pPr>
      <w:r>
        <w:rPr>
          <w:rStyle w:val="11"/>
          <w:rFonts w:hint="eastAsia" w:ascii="微软雅黑" w:hAnsi="微软雅黑" w:eastAsia="微软雅黑" w:cs="微软雅黑"/>
          <w:sz w:val="28"/>
          <w:szCs w:val="28"/>
        </w:rPr>
        <w:t>4. 危险源辨识、风险评估、隐患排查治理流程图</w:t>
      </w:r>
    </w:p>
    <w:p>
      <w:pPr>
        <w:pStyle w:val="2"/>
        <w:jc w:val="center"/>
      </w:pPr>
      <w:r>
        <w:drawing>
          <wp:inline distT="0" distB="0" distL="114300" distR="114300">
            <wp:extent cx="5757545" cy="2845435"/>
            <wp:effectExtent l="0" t="0" r="14605" b="1206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a:stretch>
                      <a:fillRect/>
                    </a:stretch>
                  </pic:blipFill>
                  <pic:spPr>
                    <a:xfrm>
                      <a:off x="0" y="0"/>
                      <a:ext cx="5757545" cy="2845435"/>
                    </a:xfrm>
                    <a:prstGeom prst="rect">
                      <a:avLst/>
                    </a:prstGeom>
                    <a:noFill/>
                    <a:ln>
                      <a:noFill/>
                    </a:ln>
                  </pic:spPr>
                </pic:pic>
              </a:graphicData>
            </a:graphic>
          </wp:inline>
        </w:drawing>
      </w:r>
    </w:p>
    <w:p>
      <w:pPr>
        <w:pStyle w:val="6"/>
        <w:widowControl/>
        <w:rPr>
          <w:sz w:val="28"/>
          <w:szCs w:val="28"/>
        </w:rPr>
      </w:pPr>
      <w:r>
        <w:rPr>
          <w:rStyle w:val="11"/>
          <w:rFonts w:hint="eastAsia" w:ascii="微软雅黑" w:hAnsi="微软雅黑" w:eastAsia="微软雅黑" w:cs="微软雅黑"/>
          <w:sz w:val="28"/>
          <w:szCs w:val="28"/>
        </w:rPr>
        <w:t>5. 危险源辨识、风险评估流程：</w:t>
      </w:r>
    </w:p>
    <w:p>
      <w:pPr>
        <w:pStyle w:val="2"/>
        <w:jc w:val="center"/>
      </w:pPr>
      <w:r>
        <w:drawing>
          <wp:inline distT="0" distB="0" distL="114300" distR="114300">
            <wp:extent cx="5734685" cy="2261870"/>
            <wp:effectExtent l="0" t="0" r="18415" b="50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5734685" cy="2261870"/>
                    </a:xfrm>
                    <a:prstGeom prst="rect">
                      <a:avLst/>
                    </a:prstGeom>
                    <a:noFill/>
                    <a:ln>
                      <a:noFill/>
                    </a:ln>
                  </pic:spPr>
                </pic:pic>
              </a:graphicData>
            </a:graphic>
          </wp:inline>
        </w:drawing>
      </w:r>
    </w:p>
    <w:p>
      <w:pPr>
        <w:pStyle w:val="6"/>
        <w:widowControl/>
        <w:rPr>
          <w:sz w:val="28"/>
          <w:szCs w:val="28"/>
        </w:rPr>
      </w:pPr>
      <w:r>
        <w:rPr>
          <w:rStyle w:val="11"/>
          <w:rFonts w:hint="eastAsia" w:ascii="微软雅黑" w:hAnsi="微软雅黑" w:eastAsia="微软雅黑" w:cs="微软雅黑"/>
          <w:sz w:val="28"/>
          <w:szCs w:val="28"/>
        </w:rPr>
        <w:t>6. 隐患分级排查；</w:t>
      </w:r>
    </w:p>
    <w:p>
      <w:pPr>
        <w:pStyle w:val="6"/>
        <w:widowControl/>
        <w:rPr>
          <w:sz w:val="28"/>
          <w:szCs w:val="28"/>
        </w:rPr>
      </w:pPr>
      <w:r>
        <w:rPr>
          <w:rStyle w:val="11"/>
          <w:rFonts w:hint="eastAsia" w:ascii="微软雅黑" w:hAnsi="微软雅黑" w:eastAsia="微软雅黑" w:cs="微软雅黑"/>
          <w:sz w:val="28"/>
          <w:szCs w:val="28"/>
        </w:rPr>
        <w:t>公司级:</w:t>
      </w:r>
      <w:r>
        <w:rPr>
          <w:rFonts w:hint="eastAsia" w:ascii="微软雅黑" w:hAnsi="微软雅黑" w:eastAsia="微软雅黑" w:cs="微软雅黑"/>
          <w:sz w:val="28"/>
          <w:szCs w:val="28"/>
        </w:rPr>
        <w:t> 通常风险级别为I级和II级的风险点，I级和II级风险点通常应包括重大危险源，风险点所产生的后果严重、易产生重大隐患的风险点，或后果不严重、但发生概率较高的风险点所涉及的危险源。</w:t>
      </w:r>
    </w:p>
    <w:p>
      <w:pPr>
        <w:pStyle w:val="6"/>
        <w:widowControl/>
        <w:rPr>
          <w:sz w:val="28"/>
          <w:szCs w:val="28"/>
        </w:rPr>
      </w:pPr>
      <w:r>
        <w:rPr>
          <w:rStyle w:val="11"/>
          <w:rFonts w:hint="eastAsia" w:ascii="微软雅黑" w:hAnsi="微软雅黑" w:eastAsia="微软雅黑" w:cs="微软雅黑"/>
          <w:sz w:val="28"/>
          <w:szCs w:val="28"/>
        </w:rPr>
        <w:t>专业级:</w:t>
      </w:r>
      <w:r>
        <w:rPr>
          <w:rFonts w:hint="eastAsia" w:ascii="微软雅黑" w:hAnsi="微软雅黑" w:eastAsia="微软雅黑" w:cs="微软雅黑"/>
          <w:sz w:val="28"/>
          <w:szCs w:val="28"/>
        </w:rPr>
        <w:t> 专业管理直接管理或相关的活动、过程、装置、设施、设备、物料等风险点所涉及的危险源，如供电专业的排查点可包括高压线路、高压配电、低压配电、配电柜（箱）、避雷系统、检维（抢）修等活动等风险点中的危险源。</w:t>
      </w:r>
    </w:p>
    <w:p>
      <w:pPr>
        <w:pStyle w:val="6"/>
        <w:widowControl/>
        <w:rPr>
          <w:sz w:val="28"/>
          <w:szCs w:val="28"/>
        </w:rPr>
      </w:pPr>
      <w:r>
        <w:rPr>
          <w:rStyle w:val="11"/>
          <w:rFonts w:hint="eastAsia" w:ascii="微软雅黑" w:hAnsi="微软雅黑" w:eastAsia="微软雅黑" w:cs="微软雅黑"/>
          <w:sz w:val="28"/>
          <w:szCs w:val="28"/>
        </w:rPr>
        <w:t>车间级:</w:t>
      </w:r>
      <w:r>
        <w:rPr>
          <w:rFonts w:hint="eastAsia" w:ascii="微软雅黑" w:hAnsi="微软雅黑" w:eastAsia="微软雅黑" w:cs="微软雅黑"/>
          <w:sz w:val="28"/>
          <w:szCs w:val="28"/>
        </w:rPr>
        <w:t> 基层单位管辖范围内所有的设施、设备、作业过程、人员（含外来人员）等风险点所涉及的危险源可设为排查点，包括在本区域内的公司级、专业级排查点。</w:t>
      </w:r>
    </w:p>
    <w:p>
      <w:pPr>
        <w:pStyle w:val="6"/>
        <w:widowControl/>
        <w:rPr>
          <w:sz w:val="28"/>
          <w:szCs w:val="28"/>
        </w:rPr>
      </w:pPr>
      <w:r>
        <w:rPr>
          <w:rStyle w:val="11"/>
          <w:rFonts w:hint="eastAsia" w:ascii="微软雅黑" w:hAnsi="微软雅黑" w:eastAsia="微软雅黑" w:cs="微软雅黑"/>
          <w:sz w:val="28"/>
          <w:szCs w:val="28"/>
        </w:rPr>
        <w:t>班组级:</w:t>
      </w:r>
      <w:r>
        <w:rPr>
          <w:rFonts w:hint="eastAsia" w:ascii="微软雅黑" w:hAnsi="微软雅黑" w:eastAsia="微软雅黑" w:cs="微软雅黑"/>
          <w:sz w:val="28"/>
          <w:szCs w:val="28"/>
        </w:rPr>
        <w:t> 除专业能力或设备能力不足导致无法实施排查的危险源，将本班组内所有的设施、设备、作业过程、人员（含外来人员）等风险点所涉及的危险源可设为排查点。</w:t>
      </w:r>
    </w:p>
    <w:p>
      <w:pPr>
        <w:pStyle w:val="2"/>
        <w:jc w:val="left"/>
        <w:rPr>
          <w:sz w:val="28"/>
          <w:szCs w:val="28"/>
        </w:rPr>
      </w:pPr>
      <w:r>
        <w:rPr>
          <w:rStyle w:val="11"/>
          <w:rFonts w:hint="eastAsia" w:ascii="微软雅黑" w:hAnsi="微软雅黑" w:eastAsia="微软雅黑" w:cs="微软雅黑"/>
          <w:sz w:val="28"/>
          <w:szCs w:val="28"/>
        </w:rPr>
        <w:t>岗位级:</w:t>
      </w:r>
      <w:r>
        <w:rPr>
          <w:rFonts w:hint="eastAsia" w:ascii="微软雅黑" w:hAnsi="微软雅黑" w:eastAsia="微软雅黑" w:cs="微软雅黑"/>
          <w:sz w:val="28"/>
          <w:szCs w:val="28"/>
        </w:rPr>
        <w:t> 除专业能力或设备能力不足导致无法实施排查的风险点，将本岗位内所有的设施、设备、作业过程、人员（含外来人员）等风险点所涉及的危险源应设为排查点。</w:t>
      </w:r>
    </w:p>
    <w:p>
      <w:pPr>
        <w:pStyle w:val="2"/>
        <w:jc w:val="center"/>
      </w:pPr>
      <w:r>
        <w:drawing>
          <wp:inline distT="0" distB="0" distL="114300" distR="114300">
            <wp:extent cx="5784215" cy="1821815"/>
            <wp:effectExtent l="0" t="0" r="6985" b="698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1"/>
                    <a:stretch>
                      <a:fillRect/>
                    </a:stretch>
                  </pic:blipFill>
                  <pic:spPr>
                    <a:xfrm>
                      <a:off x="0" y="0"/>
                      <a:ext cx="5784215" cy="1821815"/>
                    </a:xfrm>
                    <a:prstGeom prst="rect">
                      <a:avLst/>
                    </a:prstGeom>
                    <a:noFill/>
                    <a:ln>
                      <a:noFill/>
                    </a:ln>
                  </pic:spPr>
                </pic:pic>
              </a:graphicData>
            </a:graphic>
          </wp:inline>
        </w:drawing>
      </w:r>
    </w:p>
    <w:p>
      <w:pPr>
        <w:pStyle w:val="6"/>
        <w:widowControl/>
        <w:numPr>
          <w:ilvl w:val="0"/>
          <w:numId w:val="1"/>
        </w:numPr>
        <w:rPr>
          <w:rStyle w:val="11"/>
          <w:rFonts w:hint="eastAsia" w:ascii="微软雅黑" w:hAnsi="微软雅黑" w:eastAsia="微软雅黑" w:cs="微软雅黑"/>
          <w:sz w:val="28"/>
          <w:szCs w:val="28"/>
        </w:rPr>
      </w:pPr>
      <w:r>
        <w:rPr>
          <w:rStyle w:val="11"/>
          <w:rFonts w:hint="eastAsia" w:ascii="微软雅黑" w:hAnsi="微软雅黑" w:eastAsia="微软雅黑" w:cs="微软雅黑"/>
          <w:sz w:val="28"/>
          <w:szCs w:val="28"/>
        </w:rPr>
        <w:t>风险分级管控程序</w:t>
      </w: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rPr>
      </w:pPr>
      <w:r>
        <w:drawing>
          <wp:anchor distT="0" distB="0" distL="114300" distR="114300" simplePos="0" relativeHeight="251660288" behindDoc="0" locked="0" layoutInCell="1" allowOverlap="1">
            <wp:simplePos x="0" y="0"/>
            <wp:positionH relativeFrom="column">
              <wp:posOffset>71755</wp:posOffset>
            </wp:positionH>
            <wp:positionV relativeFrom="paragraph">
              <wp:posOffset>321945</wp:posOffset>
            </wp:positionV>
            <wp:extent cx="5257165" cy="6489065"/>
            <wp:effectExtent l="0" t="0" r="635" b="6985"/>
            <wp:wrapNone/>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2"/>
                    <a:stretch>
                      <a:fillRect/>
                    </a:stretch>
                  </pic:blipFill>
                  <pic:spPr>
                    <a:xfrm>
                      <a:off x="0" y="0"/>
                      <a:ext cx="5257165" cy="6489065"/>
                    </a:xfrm>
                    <a:prstGeom prst="rect">
                      <a:avLst/>
                    </a:prstGeom>
                    <a:noFill/>
                    <a:ln>
                      <a:noFill/>
                    </a:ln>
                  </pic:spPr>
                </pic:pic>
              </a:graphicData>
            </a:graphic>
          </wp:anchor>
        </w:drawing>
      </w: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sz w:val="28"/>
          <w:szCs w:val="28"/>
        </w:rPr>
      </w:pPr>
    </w:p>
    <w:p>
      <w:pPr>
        <w:pStyle w:val="6"/>
        <w:widowControl/>
        <w:rPr>
          <w:rStyle w:val="11"/>
          <w:rFonts w:hint="eastAsia" w:ascii="微软雅黑" w:hAnsi="微软雅黑" w:eastAsia="微软雅黑" w:cs="微软雅黑"/>
        </w:rPr>
      </w:pPr>
    </w:p>
    <w:p>
      <w:pPr>
        <w:pStyle w:val="6"/>
        <w:widowControl/>
        <w:rPr>
          <w:rStyle w:val="11"/>
          <w:rFonts w:hint="eastAsia" w:ascii="微软雅黑" w:hAnsi="微软雅黑" w:eastAsia="微软雅黑" w:cs="微软雅黑"/>
        </w:rPr>
      </w:pPr>
    </w:p>
    <w:p>
      <w:pPr>
        <w:pStyle w:val="6"/>
        <w:widowControl/>
        <w:rPr>
          <w:rStyle w:val="11"/>
          <w:rFonts w:hint="eastAsia" w:ascii="微软雅黑" w:hAnsi="微软雅黑" w:eastAsia="微软雅黑" w:cs="微软雅黑"/>
        </w:rPr>
      </w:pP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lang w:eastAsia="zh-CN"/>
        </w:rPr>
      </w:pPr>
    </w:p>
    <w:p>
      <w:pPr>
        <w:pStyle w:val="6"/>
        <w:widowControl/>
        <w:rPr>
          <w:rStyle w:val="11"/>
          <w:rFonts w:hint="eastAsia" w:ascii="微软雅黑" w:hAnsi="微软雅黑" w:eastAsia="微软雅黑" w:cs="微软雅黑"/>
          <w:sz w:val="28"/>
          <w:szCs w:val="28"/>
          <w:lang w:eastAsia="zh-CN"/>
        </w:rPr>
      </w:pPr>
    </w:p>
    <w:p>
      <w:pPr>
        <w:pStyle w:val="6"/>
        <w:widowControl/>
        <w:rPr>
          <w:sz w:val="28"/>
          <w:szCs w:val="28"/>
        </w:rPr>
      </w:pPr>
      <w:r>
        <w:rPr>
          <w:rStyle w:val="11"/>
          <w:rFonts w:hint="eastAsia" w:ascii="微软雅黑" w:hAnsi="微软雅黑" w:eastAsia="微软雅黑" w:cs="微软雅黑"/>
          <w:sz w:val="28"/>
          <w:szCs w:val="28"/>
        </w:rPr>
        <w:t>8. 事故隐患排查治理程序</w:t>
      </w:r>
    </w:p>
    <w:p>
      <w:pPr>
        <w:pStyle w:val="2"/>
        <w:jc w:val="center"/>
      </w:pPr>
    </w:p>
    <w:p>
      <w:pPr>
        <w:pStyle w:val="2"/>
        <w:jc w:val="center"/>
      </w:pPr>
      <w:r>
        <w:drawing>
          <wp:anchor distT="0" distB="0" distL="114300" distR="114300" simplePos="0" relativeHeight="251661312" behindDoc="0" locked="0" layoutInCell="1" allowOverlap="1">
            <wp:simplePos x="0" y="0"/>
            <wp:positionH relativeFrom="column">
              <wp:posOffset>-198755</wp:posOffset>
            </wp:positionH>
            <wp:positionV relativeFrom="paragraph">
              <wp:posOffset>80645</wp:posOffset>
            </wp:positionV>
            <wp:extent cx="5659120" cy="6614160"/>
            <wp:effectExtent l="0" t="0" r="17780" b="15240"/>
            <wp:wrapNone/>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3"/>
                    <a:stretch>
                      <a:fillRect/>
                    </a:stretch>
                  </pic:blipFill>
                  <pic:spPr>
                    <a:xfrm>
                      <a:off x="0" y="0"/>
                      <a:ext cx="5659120" cy="6614160"/>
                    </a:xfrm>
                    <a:prstGeom prst="rect">
                      <a:avLst/>
                    </a:prstGeom>
                    <a:noFill/>
                    <a:ln>
                      <a:noFill/>
                    </a:ln>
                  </pic:spPr>
                </pic:pic>
              </a:graphicData>
            </a:graphic>
          </wp:anchor>
        </w:drawing>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6"/>
        <w:widowControl/>
        <w:rPr>
          <w:sz w:val="28"/>
          <w:szCs w:val="28"/>
        </w:rPr>
      </w:pPr>
      <w:r>
        <w:rPr>
          <w:rStyle w:val="11"/>
          <w:rFonts w:hint="eastAsia" w:ascii="微软雅黑" w:hAnsi="微软雅黑" w:eastAsia="微软雅黑" w:cs="微软雅黑"/>
          <w:sz w:val="28"/>
          <w:szCs w:val="28"/>
        </w:rPr>
        <w:t>9.双重预防机制建设流程</w:t>
      </w:r>
    </w:p>
    <w:p>
      <w:r>
        <w:drawing>
          <wp:inline distT="0" distB="0" distL="114300" distR="114300">
            <wp:extent cx="6057265" cy="2990215"/>
            <wp:effectExtent l="0" t="0" r="635"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6057265" cy="29902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2BE193"/>
    <w:multiLevelType w:val="singleLevel"/>
    <w:tmpl w:val="FE2BE193"/>
    <w:lvl w:ilvl="0" w:tentative="0">
      <w:start w:val="7"/>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BlOWNhNDdhZTkyMzI1YjQ4NGY0YTNkYzM3NjIxYmIifQ=="/>
  </w:docVars>
  <w:rsids>
    <w:rsidRoot w:val="07F34BB2"/>
    <w:rsid w:val="07F34BB2"/>
    <w:rsid w:val="145A2EDB"/>
    <w:rsid w:val="5EF808F3"/>
    <w:rsid w:val="7F7D6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240" w:lineRule="atLeast"/>
      <w:jc w:val="both"/>
    </w:pPr>
    <w:rPr>
      <w:rFonts w:ascii="Times New Roman" w:hAnsi="Times New Roman" w:eastAsia="仿宋_GB2312" w:cs="Times New Roman"/>
      <w:spacing w:val="-6"/>
      <w:kern w:val="2"/>
      <w:sz w:val="32"/>
      <w:lang w:val="en-US" w:eastAsia="zh-CN" w:bidi="ar-SA"/>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3">
    <w:name w:val="Normal Indent"/>
    <w:basedOn w:val="1"/>
    <w:next w:val="1"/>
    <w:qFormat/>
    <w:uiPriority w:val="0"/>
    <w:pPr>
      <w:ind w:firstLine="420" w:firstLineChars="200"/>
    </w:pPr>
    <w:rPr>
      <w:rFonts w:eastAsia="仿宋"/>
      <w:sz w:val="32"/>
    </w:rPr>
  </w:style>
  <w:style w:type="paragraph" w:styleId="4">
    <w:name w:val="Body Text Indent"/>
    <w:basedOn w:val="1"/>
    <w:next w:val="3"/>
    <w:unhideWhenUsed/>
    <w:qFormat/>
    <w:uiPriority w:val="99"/>
    <w:pPr>
      <w:spacing w:after="120"/>
      <w:ind w:left="420" w:leftChars="200"/>
    </w:pPr>
  </w:style>
  <w:style w:type="paragraph" w:styleId="5">
    <w:name w:val="footer"/>
    <w:basedOn w:val="1"/>
    <w:uiPriority w:val="0"/>
    <w:pPr>
      <w:tabs>
        <w:tab w:val="center" w:pos="4153"/>
        <w:tab w:val="right" w:pos="8306"/>
      </w:tabs>
      <w:overflowPunct w:val="0"/>
      <w:autoSpaceDE w:val="0"/>
      <w:autoSpaceDN w:val="0"/>
      <w:adjustRightInd w:val="0"/>
      <w:spacing w:line="240" w:lineRule="atLeast"/>
      <w:jc w:val="both"/>
      <w:textAlignment w:val="baseline"/>
    </w:pPr>
    <w:rPr>
      <w:sz w:val="20"/>
    </w:rPr>
  </w:style>
  <w:style w:type="paragraph" w:styleId="6">
    <w:name w:val="Normal (Web)"/>
    <w:basedOn w:val="1"/>
    <w:qFormat/>
    <w:uiPriority w:val="0"/>
    <w:pPr>
      <w:jc w:val="left"/>
    </w:pPr>
    <w:rPr>
      <w:rFonts w:ascii="Calibri" w:hAnsi="Calibri"/>
      <w:kern w:val="0"/>
      <w:sz w:val="24"/>
    </w:rPr>
  </w:style>
  <w:style w:type="paragraph" w:styleId="7">
    <w:name w:val="Body Text First Indent 2"/>
    <w:basedOn w:val="4"/>
    <w:qFormat/>
    <w:uiPriority w:val="0"/>
    <w:pPr>
      <w:tabs>
        <w:tab w:val="left" w:pos="1260"/>
      </w:tabs>
      <w:spacing w:after="120" w:line="240" w:lineRule="auto"/>
      <w:ind w:left="420" w:leftChars="200" w:firstLine="420"/>
      <w:textAlignment w:val="auto"/>
    </w:pPr>
    <w:rPr>
      <w:rFonts w:eastAsia="宋体"/>
      <w:sz w:val="21"/>
    </w:rPr>
  </w:style>
  <w:style w:type="table" w:styleId="9">
    <w:name w:val="Table Grid"/>
    <w:basedOn w:val="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page number"/>
    <w:basedOn w:val="10"/>
    <w:qFormat/>
    <w:uiPriority w:val="0"/>
  </w:style>
  <w:style w:type="character" w:customStyle="1" w:styleId="13">
    <w:name w:val="font01"/>
    <w:basedOn w:val="10"/>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1097</Words>
  <Characters>1107</Characters>
  <Lines>0</Lines>
  <Paragraphs>0</Paragraphs>
  <TotalTime>0</TotalTime>
  <ScaleCrop>false</ScaleCrop>
  <LinksUpToDate>false</LinksUpToDate>
  <CharactersWithSpaces>1118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2022-09-16T01:12:00Z</dcterms:created>
  <dc:creator>长安某。</dc:creator>
  <cp:lastModifiedBy>长安某。</cp:lastModifiedBy>
  <dcterms:modified xsi:type="dcterms:W3CDTF">2022-09-16T01:53:20Z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B3197353F48D490F82F2847FDC89B13E</vt:lpwstr>
  </property>
</Properties>
</file>