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jc w:val="center"/>
        <w:rPr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九江市三级安全生产标准化评审人员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专业背景要求</w:t>
      </w:r>
    </w:p>
    <w:bookmarkEnd w:id="0"/>
    <w:tbl>
      <w:tblPr>
        <w:tblStyle w:val="5"/>
        <w:tblW w:w="878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013"/>
        <w:gridCol w:w="5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0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评审行业</w:t>
            </w: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专业背景要求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0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非煤矿山</w:t>
            </w: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安全类、矿业类、地质类、金属与非金属矿类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0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化工（含石油化工）、医药、危险化学品、烟花爆竹</w:t>
            </w: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安全类、化学类、化工与制药类、化工技术类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0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工贸-冶金</w:t>
            </w: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安全类、材料类、黑色金属材料类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0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工贸-有色</w:t>
            </w: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安全类、材料类、有色金属材料类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0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工贸-建材</w:t>
            </w: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安全类、材料类、建筑材料类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0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工贸-机械</w:t>
            </w: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安全类、机械类、机械设计制造类、机电设备类、自动化类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20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工贸-轻工</w:t>
            </w: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安全类、轻工类、轻化工类、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20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工贸-纺织</w:t>
            </w: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安全类、纺织类、纺织服装类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20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工贸-烟草</w:t>
            </w: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安全类、植物生产类（烟草）、农业类（烟草栽培与加工）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20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工贸-商贸</w:t>
            </w: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安全类、公安技术类（消防工程）、建筑设备类（消防工程技术）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.专业技术能力可通过普通高等院校高等职业教育、本科学历或中级以上专业技术职称，参照教育部《普通高等学校高等职业教育（专科）专业目录（2015）》和《普通高等学校本科专业目录(2012版）》相关专业类别予以认定；</w:t>
      </w:r>
    </w:p>
    <w:p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2.取得注册安全工程师、二级以上安全评价师职业资格视同具备安全类专业技术能力；</w:t>
      </w:r>
    </w:p>
    <w:p>
      <w:pPr>
        <w:pStyle w:val="4"/>
        <w:ind w:left="0" w:leftChars="0" w:firstLine="0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3.同一技术人员取得不同专业的学历或资格，可同时认定具备不同专业技术能力。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OWNhNDdhZTkyMzI1YjQ4NGY0YTNkYzM3NjIxYmIifQ=="/>
  </w:docVars>
  <w:rsids>
    <w:rsidRoot w:val="404C54B3"/>
    <w:rsid w:val="0E695DD8"/>
    <w:rsid w:val="1CDD28FB"/>
    <w:rsid w:val="404C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qFormat/>
    <w:uiPriority w:val="0"/>
    <w:pPr>
      <w:tabs>
        <w:tab w:val="left" w:pos="1260"/>
      </w:tabs>
      <w:ind w:firstLine="42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1963</Words>
  <Characters>1998</Characters>
  <Lines>0</Lines>
  <Paragraphs>0</Paragraphs>
  <TotalTime>1</TotalTime>
  <ScaleCrop>false</ScaleCrop>
  <LinksUpToDate>false</LinksUpToDate>
  <CharactersWithSpaces>2090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2023-05-25T09:27:00Z</dcterms:created>
  <dc:creator>长安某。</dc:creator>
  <cp:lastModifiedBy>长安某。</cp:lastModifiedBy>
  <dcterms:modified xsi:type="dcterms:W3CDTF">2023-05-25T09:28:17Z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5B497C4AA8C4494B81A8480437C01CBA_13</vt:lpwstr>
  </property>
</Properties>
</file>