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spacing w:after="0"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spacing w:after="0"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179705</wp:posOffset>
                </wp:positionV>
                <wp:extent cx="5781675" cy="12045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81675" cy="1204595"/>
                        </a:xfrm>
                        <a:prstGeom prst="rect">
                          <a:avLst/>
                        </a:prstGeom>
                        <a:noFill/>
                        <a:ln>
                          <a:noFill/>
                        </a:ln>
                        <a:effectLst/>
                      </wps:spPr>
                      <wps:txbx>
                        <w:txbxContent>
                          <w:p>
                            <w:pPr>
                              <w:widowControl/>
                              <w:jc w:val="distribute"/>
                              <w:rPr>
                                <w:rFonts w:ascii="方正小标宋简体" w:hAnsi="方正小标宋简体" w:eastAsia="方正小标宋简体" w:cs="方正小标宋简体"/>
                                <w:color w:val="FF0000"/>
                                <w:w w:val="70"/>
                                <w:sz w:val="116"/>
                                <w:szCs w:val="116"/>
                              </w:rPr>
                            </w:pPr>
                            <w:r>
                              <w:rPr>
                                <w:rFonts w:hint="eastAsia" w:ascii="方正小标宋简体" w:hAnsi="方正小标宋简体" w:eastAsia="方正小标宋简体" w:cs="方正小标宋简体"/>
                                <w:color w:val="FF0000"/>
                                <w:w w:val="70"/>
                                <w:sz w:val="116"/>
                                <w:szCs w:val="116"/>
                              </w:rPr>
                              <w:t>九江市医疗保障局文件</w:t>
                            </w:r>
                          </w:p>
                        </w:txbxContent>
                      </wps:txbx>
                      <wps:bodyPr upright="1"/>
                    </wps:wsp>
                  </a:graphicData>
                </a:graphic>
              </wp:anchor>
            </w:drawing>
          </mc:Choice>
          <mc:Fallback>
            <w:pict>
              <v:shape id="_x0000_s1026" o:spid="_x0000_s1026" o:spt="202" type="#_x0000_t202" style="position:absolute;left:0pt;margin-left:-5.55pt;margin-top:14.15pt;height:94.85pt;width:455.25pt;z-index:251660288;mso-width-relative:page;mso-height-relative:page;" filled="f" stroked="f" coordsize="21600,21600" o:gfxdata="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f&#10;TxWH1wAAAAoBAAAPAAAAAAAAAAEAIAAAACIAAABkcnMvZG93bnJldi54bWxQSwECFAAUAAAACACH&#10;TuJA2tVel7MBAABdAwAADgAAAAAAAAABACAAAAAmAQAAZHJzL2Uyb0RvYy54bWxQSwUGAAAAAAYA&#10;BgBZAQAASwUAAAAA&#10;">
                <v:fill on="f" focussize="0,0"/>
                <v:stroke on="f"/>
                <v:imagedata o:title=""/>
                <o:lock v:ext="edit" aspectratio="f"/>
                <v:textbox>
                  <w:txbxContent>
                    <w:p>
                      <w:pPr>
                        <w:widowControl/>
                        <w:jc w:val="distribute"/>
                        <w:rPr>
                          <w:rFonts w:ascii="方正小标宋简体" w:hAnsi="方正小标宋简体" w:eastAsia="方正小标宋简体" w:cs="方正小标宋简体"/>
                          <w:color w:val="FF0000"/>
                          <w:w w:val="70"/>
                          <w:sz w:val="116"/>
                          <w:szCs w:val="116"/>
                        </w:rPr>
                      </w:pPr>
                      <w:r>
                        <w:rPr>
                          <w:rFonts w:hint="eastAsia" w:ascii="方正小标宋简体" w:hAnsi="方正小标宋简体" w:eastAsia="方正小标宋简体" w:cs="方正小标宋简体"/>
                          <w:color w:val="FF0000"/>
                          <w:w w:val="70"/>
                          <w:sz w:val="116"/>
                          <w:szCs w:val="116"/>
                        </w:rPr>
                        <w:t>九江市医疗保障局文件</w:t>
                      </w:r>
                    </w:p>
                  </w:txbxContent>
                </v:textbox>
              </v:shape>
            </w:pict>
          </mc:Fallback>
        </mc:AlternateContent>
      </w:r>
    </w:p>
    <w:p>
      <w:pPr>
        <w:keepNext w:val="0"/>
        <w:keepLines w:val="0"/>
        <w:pageBreakBefore w:val="0"/>
        <w:widowControl/>
        <w:kinsoku/>
        <w:wordWrap/>
        <w:overflowPunct/>
        <w:topLinePunct w:val="0"/>
        <w:autoSpaceDE/>
        <w:autoSpaceDN/>
        <w:bidi w:val="0"/>
        <w:spacing w:after="0"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spacing w:after="0"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spacing w:after="0"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spacing w:after="0"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spacing w:after="0" w:line="70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kinsoku/>
        <w:wordWrap/>
        <w:overflowPunct/>
        <w:topLinePunct w:val="0"/>
        <w:autoSpaceDE/>
        <w:autoSpaceDN/>
        <w:bidi w:val="0"/>
        <w:spacing w:after="0"/>
        <w:jc w:val="center"/>
        <w:textAlignment w:val="auto"/>
        <w:rPr>
          <w:rFonts w:hint="default" w:ascii="Times New Roman" w:hAnsi="Times New Roman" w:eastAsia="仿宋_GB2312" w:cs="Times New Roman"/>
          <w:sz w:val="32"/>
          <w:szCs w:val="36"/>
        </w:rPr>
      </w:pPr>
      <w:r>
        <w:rPr>
          <w:rFonts w:hint="default" w:ascii="Times New Roman" w:hAnsi="Times New Roman" w:eastAsia="方正小标宋简体" w:cs="Times New Roman"/>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407670</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w="254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2pt;margin-top:32.1pt;height:0.05pt;width:442.2pt;z-index:251659264;mso-width-relative:page;mso-height-relative:page;" filled="f" stroked="t" coordsize="21600,21600" o:gfxdata="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BRg9/UAAAABgEAAA8AAAAAAAAAAQAgAAAAIgAAAGRycy9kb3ducmV2LnhtbFBL&#10;AQIUABQAAAAIAIdO4kAbEIRd+gEAAPMDAAAOAAAAAAAAAAEAIAAAACMBAABkcnMvZTJvRG9jLnht&#10;bFBLBQYAAAAABgAGAFkBAACPBQ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sz w:val="32"/>
          <w:szCs w:val="36"/>
        </w:rPr>
        <w:t>九医保字〔2023〕</w:t>
      </w:r>
      <w:r>
        <w:rPr>
          <w:rFonts w:hint="eastAsia" w:ascii="Times New Roman" w:hAnsi="Times New Roman" w:eastAsia="仿宋_GB2312" w:cs="Times New Roman"/>
          <w:sz w:val="32"/>
          <w:szCs w:val="36"/>
          <w:lang w:val="en-US" w:eastAsia="zh-CN"/>
        </w:rPr>
        <w:t>38</w:t>
      </w:r>
      <w:r>
        <w:rPr>
          <w:rFonts w:hint="default" w:ascii="Times New Roman" w:hAnsi="Times New Roman" w:eastAsia="仿宋_GB2312" w:cs="Times New Roman"/>
          <w:sz w:val="32"/>
          <w:szCs w:val="36"/>
        </w:rPr>
        <w:t>号</w:t>
      </w:r>
    </w:p>
    <w:p>
      <w:pPr>
        <w:keepNext w:val="0"/>
        <w:keepLines w:val="0"/>
        <w:pageBreakBefore w:val="0"/>
        <w:widowControl/>
        <w:kinsoku/>
        <w:wordWrap/>
        <w:overflowPunct/>
        <w:topLinePunct w:val="0"/>
        <w:autoSpaceDE/>
        <w:autoSpaceDN/>
        <w:bidi w:val="0"/>
        <w:spacing w:after="0" w:line="3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spacing w:after="0" w:line="3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九江市医疗保障局关于调增基本医疗保险</w:t>
      </w:r>
    </w:p>
    <w:p>
      <w:pPr>
        <w:keepNext w:val="0"/>
        <w:keepLines w:val="0"/>
        <w:pageBreakBefore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门诊慢特病病种的通知    </w:t>
      </w:r>
    </w:p>
    <w:p>
      <w:pPr>
        <w:keepNext w:val="0"/>
        <w:keepLines w:val="0"/>
        <w:pageBreakBefore w:val="0"/>
        <w:widowControl w:val="0"/>
        <w:kinsoku/>
        <w:wordWrap/>
        <w:overflowPunct w:val="0"/>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val="0"/>
        <w:topLinePunct w:val="0"/>
        <w:autoSpaceDE/>
        <w:autoSpaceDN/>
        <w:bidi w:val="0"/>
        <w:adjustRightInd/>
        <w:snapToGrid/>
        <w:spacing w:line="620" w:lineRule="exact"/>
        <w:ind w:right="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各县（市、区）医疗保障局、局属单位，各定点医药机构：</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根据《江西省医疗保障局关于印发&lt;</w:t>
      </w:r>
      <w:r>
        <w:rPr>
          <w:rFonts w:ascii="Times New Roman" w:hAnsi="Times New Roman" w:eastAsia="仿宋_GB2312" w:cs="Times New Roman"/>
          <w:sz w:val="32"/>
          <w:szCs w:val="32"/>
        </w:rPr>
        <w:t>江西省门诊慢性病、特殊病医疗保障管理办法</w:t>
      </w:r>
      <w:r>
        <w:rPr>
          <w:rFonts w:hint="eastAsia" w:ascii="Times New Roman" w:hAnsi="Times New Roman" w:eastAsia="仿宋_GB2312" w:cs="Times New Roman"/>
          <w:sz w:val="32"/>
          <w:szCs w:val="32"/>
        </w:rPr>
        <w:t>&gt;</w:t>
      </w:r>
      <w:r>
        <w:rPr>
          <w:rFonts w:ascii="Times New Roman" w:hAnsi="Times New Roman" w:eastAsia="仿宋_GB2312" w:cs="Times New Roman"/>
          <w:sz w:val="32"/>
          <w:szCs w:val="32"/>
        </w:rPr>
        <w:t>的通知》（赣医保字〔2023〕29号）和</w:t>
      </w:r>
      <w:r>
        <w:rPr>
          <w:rFonts w:hint="eastAsia" w:ascii="Times New Roman" w:hAnsi="Times New Roman" w:eastAsia="仿宋_GB2312" w:cs="Times New Roman"/>
          <w:sz w:val="32"/>
          <w:szCs w:val="32"/>
        </w:rPr>
        <w:t>《江西省医疗保障局关于印发&lt;</w:t>
      </w:r>
      <w:r>
        <w:rPr>
          <w:rFonts w:ascii="Times New Roman" w:hAnsi="Times New Roman" w:eastAsia="仿宋_GB2312" w:cs="Times New Roman"/>
          <w:sz w:val="32"/>
          <w:szCs w:val="32"/>
        </w:rPr>
        <w:t>江西省门诊慢性病、特殊病</w:t>
      </w:r>
      <w:r>
        <w:rPr>
          <w:rFonts w:hint="eastAsia" w:ascii="Times New Roman" w:hAnsi="Times New Roman" w:eastAsia="仿宋_GB2312" w:cs="Times New Roman"/>
          <w:sz w:val="32"/>
          <w:szCs w:val="32"/>
        </w:rPr>
        <w:t>病种目录&gt;和&lt;</w:t>
      </w:r>
      <w:r>
        <w:rPr>
          <w:rFonts w:ascii="Times New Roman" w:hAnsi="Times New Roman" w:eastAsia="仿宋_GB2312" w:cs="Times New Roman"/>
          <w:sz w:val="32"/>
          <w:szCs w:val="32"/>
        </w:rPr>
        <w:t>江西省门诊慢性病、特殊病</w:t>
      </w:r>
      <w:r>
        <w:rPr>
          <w:rFonts w:hint="eastAsia" w:ascii="Times New Roman" w:hAnsi="Times New Roman" w:eastAsia="仿宋_GB2312" w:cs="Times New Roman"/>
          <w:sz w:val="32"/>
          <w:szCs w:val="32"/>
        </w:rPr>
        <w:t>认定标准&gt;</w:t>
      </w:r>
      <w:r>
        <w:rPr>
          <w:rFonts w:ascii="Times New Roman" w:hAnsi="Times New Roman" w:eastAsia="仿宋_GB2312" w:cs="Times New Roman"/>
          <w:sz w:val="32"/>
          <w:szCs w:val="32"/>
        </w:rPr>
        <w:t>的通知》（赣医保字〔2023〕40号）文件</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，经研究，决定</w:t>
      </w:r>
      <w:r>
        <w:rPr>
          <w:rFonts w:hint="eastAsia" w:ascii="Times New Roman" w:hAnsi="Times New Roman" w:eastAsia="仿宋_GB2312" w:cs="Times New Roman"/>
          <w:sz w:val="32"/>
          <w:szCs w:val="32"/>
        </w:rPr>
        <w:t>调增</w:t>
      </w:r>
      <w:r>
        <w:rPr>
          <w:rFonts w:ascii="Times New Roman" w:hAnsi="Times New Roman" w:eastAsia="仿宋_GB2312" w:cs="Times New Roman"/>
          <w:sz w:val="32"/>
          <w:szCs w:val="32"/>
        </w:rPr>
        <w:t>我市基本医疗保险门诊慢性病、特殊病（以下简称门诊慢</w:t>
      </w:r>
      <w:r>
        <w:rPr>
          <w:rFonts w:hint="eastAsia" w:ascii="Times New Roman" w:hAnsi="Times New Roman" w:eastAsia="仿宋_GB2312" w:cs="Times New Roman"/>
          <w:sz w:val="32"/>
          <w:szCs w:val="32"/>
        </w:rPr>
        <w:t>特</w:t>
      </w:r>
      <w:r>
        <w:rPr>
          <w:rFonts w:ascii="Times New Roman" w:hAnsi="Times New Roman" w:eastAsia="仿宋_GB2312" w:cs="Times New Roman"/>
          <w:sz w:val="32"/>
          <w:szCs w:val="32"/>
        </w:rPr>
        <w:t>病）病种，现就有关事项通知如下</w:t>
      </w:r>
      <w:r>
        <w:rPr>
          <w:rFonts w:hint="eastAsia" w:ascii="Times New Roman" w:hAnsi="Times New Roman" w:eastAsia="仿宋_GB2312" w:cs="Times New Roman"/>
          <w:sz w:val="32"/>
          <w:szCs w:val="32"/>
        </w:rPr>
        <w:t>：</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ascii="黑体" w:hAnsi="黑体" w:eastAsia="黑体" w:cs="Times New Roman"/>
          <w:sz w:val="32"/>
          <w:szCs w:val="32"/>
        </w:rPr>
      </w:pPr>
      <w:r>
        <w:rPr>
          <w:rFonts w:hint="eastAsia" w:ascii="黑体" w:hAnsi="黑体" w:eastAsia="黑体" w:cs="Times New Roman"/>
          <w:sz w:val="32"/>
          <w:szCs w:val="32"/>
        </w:rPr>
        <w:t>一、调增病种目录</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根据全省35个基本病种应全部纳入，拓展病种延续原有及依据本地医保基金承受能力适度选择的统一要求，结合我市实际，并参照省本级（及南昌市）对我市门诊慢特病病种进行调增。</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新增11个病种。从2024年1月1日起，九江市门诊慢特病在现有病种基础上，新增11个病种，其中：基本病种6个（Ⅰ类1个、Ⅱ类5个）、拓展病种5个（均为Ⅱ类）。具体病种的编码、名称、类型及年度最高支付限额详见附件1。</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2、现有病种及待遇保持不变。按照市医疗保障局 市卫健委印发的《关于进一步加强高血压、糖尿病等慢性病患者门诊医疗保障的通知》（九医保字</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43号）文件规定，九江市门诊慢性病现有的33个病种，其中：基本病种29个（Ⅰ类8个、Ⅱ类21个）、拓展病种4个(均为Ⅱ类)。</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从2024年1月1日起，现有病种的编码、名称和享受人员全部映射至《</w:t>
      </w:r>
      <w:r>
        <w:rPr>
          <w:rFonts w:ascii="Times New Roman" w:hAnsi="Times New Roman" w:eastAsia="仿宋_GB2312" w:cs="Times New Roman"/>
          <w:sz w:val="32"/>
          <w:szCs w:val="32"/>
        </w:rPr>
        <w:t>江西省门诊慢性病、特殊病</w:t>
      </w:r>
      <w:r>
        <w:rPr>
          <w:rFonts w:hint="eastAsia" w:ascii="Times New Roman" w:hAnsi="Times New Roman" w:eastAsia="仿宋_GB2312" w:cs="Times New Roman"/>
          <w:sz w:val="32"/>
          <w:szCs w:val="32"/>
        </w:rPr>
        <w:t>病种目录》中的相应病种，病种及年度最高支付限额等待遇保持不变，确保现有门诊慢特病患者待遇不受影响。具体映射关系详见附件2。</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ascii="黑体" w:hAnsi="黑体" w:eastAsia="黑体" w:cs="Times New Roman"/>
          <w:sz w:val="32"/>
          <w:szCs w:val="32"/>
        </w:rPr>
      </w:pPr>
      <w:r>
        <w:rPr>
          <w:rFonts w:hint="eastAsia" w:ascii="黑体" w:hAnsi="黑体" w:eastAsia="黑体" w:cs="Times New Roman"/>
          <w:sz w:val="32"/>
          <w:szCs w:val="32"/>
        </w:rPr>
        <w:t>二、规范基金支付</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Ⅰ类病种不设年度最高支付限额；Ⅱ类病种实行单病种年度最高支付限额，按年度结算，不结转下年度使用。Ⅱ类病种最多可申请认定3个，1个主病种的年度最高支付限额不变，其他次病种的年度最高支付限额减半。</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2、参保患者在定点医药机构治疗门诊慢特病的医保政策范围内医疗费用，基本医疗保险和大病保险按规定支付。</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在定点医疗机构就诊的，基本医疗保险不设起付线，并按该医疗机构的住院报销比例支付；对已纳入定点零售药店保障的病种（糖尿病伴有并发症、高血压伴有并发症），按照《九江市医疗保障局关于将糖尿病高血压用药纳入定点零售药店保障的通知》（九医保发〔2021〕13 号）规定执行，参保患者在定点零售药店发生的药品费，基本医疗保险按三级医疗机构的住院报销比例支付。</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基本医疗保险</w:t>
      </w:r>
      <w:r>
        <w:rPr>
          <w:rFonts w:hint="eastAsia" w:ascii="Times New Roman" w:hAnsi="Times New Roman" w:eastAsia="仿宋_GB2312" w:cs="Times New Roman"/>
          <w:sz w:val="32"/>
          <w:szCs w:val="32"/>
        </w:rPr>
        <w:t>所支付费用计入基本医疗保险年度最高支付限额之内。</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（2）基本医疗保险支付后，剩余部分的医保政策范围内医疗费用按规定进入大病保险支付，所支付费用计入大病保险年度最高支付限额之内。</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（3）基本医疗保险和大病保险的合计支付不超过门诊慢特病年度最高支付限额。</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3、在基本医疗保险和大病保险支付后，对符合医疗救助条件的参保人员的门诊慢特病医疗费用按规定享受相应的医疗救助待遇。</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ascii="黑体" w:hAnsi="黑体" w:eastAsia="黑体" w:cs="Times New Roman"/>
          <w:sz w:val="32"/>
          <w:szCs w:val="32"/>
        </w:rPr>
      </w:pPr>
      <w:r>
        <w:rPr>
          <w:rFonts w:hint="eastAsia" w:ascii="黑体" w:hAnsi="黑体" w:eastAsia="黑体" w:cs="Times New Roman"/>
          <w:sz w:val="32"/>
          <w:szCs w:val="32"/>
        </w:rPr>
        <w:t>三、统一认定标准</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严格执行《江西省门诊慢性病、特殊病认定标准》，统一全市认定标准，具体认定标准详见附件3。</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ascii="黑体" w:hAnsi="黑体" w:eastAsia="黑体" w:cs="Times New Roman"/>
          <w:sz w:val="32"/>
          <w:szCs w:val="32"/>
        </w:rPr>
      </w:pPr>
      <w:r>
        <w:rPr>
          <w:rFonts w:hint="eastAsia" w:ascii="黑体" w:hAnsi="黑体" w:eastAsia="黑体" w:cs="Times New Roman"/>
          <w:sz w:val="32"/>
          <w:szCs w:val="32"/>
        </w:rPr>
        <w:t>四、加强经办服务</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1、做好政策衔接。从2024年1月1日起，全面实施江西省门诊慢特病病种目录，九江市现有病种的名称、编码不再使用。</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医疗保险事务中心负责组织各地医保经办机构、定点医药机构做好我市新增病种、现有病种与江西省病种目录的映射工作，及时更新信息系统、完善经办流程，确保待遇无缝衔接，不得因病种名称、编码调整影响参保人员待遇享受。</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优化认定程序。参保人员按规定向医保经办机构或者受医保经办机构委托的定点医疗机构、第三方机构提交门诊慢特病认定申请。医保经办机构应充分运用信息化手段，优化认定程序。探索将参保人员在定点医疗机构联网结算的就诊记录等作为门诊慢特病认定材料，逐步减少书面证明材料。 </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3、门诊慢特病资格互认。从2024 年 1月1日起，享受门诊慢特病待遇的参保人员，在省内医保关系正常转移接续时，转入地和转出地有相同病种的,该病种的门诊慢特病资格继续保留，不再重新认定；转入地和转出地没有相同病种的，不再保留该病种的门诊慢特病资格。</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4、加强宣传引导。全市各地医保部门要加强宣传引导，做好政策解读工作，及时回应群众关切，合理引导社会预期,营造良好的改革氛围,保障门诊慢特病政策顺利实施。</w:t>
      </w:r>
    </w:p>
    <w:p>
      <w:pPr>
        <w:keepNext w:val="0"/>
        <w:keepLines w:val="0"/>
        <w:pageBreakBefore w:val="0"/>
        <w:widowControl w:val="0"/>
        <w:kinsoku/>
        <w:overflowPunct w:val="0"/>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.九江市新增病种表</w:t>
      </w:r>
    </w:p>
    <w:p>
      <w:pPr>
        <w:keepNext w:val="0"/>
        <w:keepLines w:val="0"/>
        <w:pageBreakBefore w:val="0"/>
        <w:kinsoku/>
        <w:topLinePunct w:val="0"/>
        <w:autoSpaceDE/>
        <w:autoSpaceDN/>
        <w:bidi w:val="0"/>
        <w:adjustRightInd/>
        <w:snapToGrid/>
        <w:spacing w:line="620" w:lineRule="exact"/>
        <w:ind w:right="0" w:firstLine="1600" w:firstLineChars="5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2.九江市</w:t>
      </w:r>
      <w:r>
        <w:rPr>
          <w:rFonts w:hint="eastAsia" w:ascii="Times New Roman" w:hAnsi="Times New Roman" w:eastAsia="仿宋_GB2312" w:cs="Times New Roman"/>
          <w:sz w:val="32"/>
          <w:szCs w:val="32"/>
        </w:rPr>
        <w:t>现有病种与江西省病种目录映射关系表</w:t>
      </w:r>
      <w:r>
        <w:rPr>
          <w:rFonts w:ascii="Times New Roman" w:hAnsi="Times New Roman" w:eastAsia="仿宋_GB2312" w:cs="Times New Roman"/>
          <w:sz w:val="32"/>
          <w:szCs w:val="32"/>
        </w:rPr>
        <w:t xml:space="preserve">     </w:t>
      </w:r>
    </w:p>
    <w:p>
      <w:pPr>
        <w:keepNext w:val="0"/>
        <w:keepLines w:val="0"/>
        <w:pageBreakBefore w:val="0"/>
        <w:kinsoku/>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3.门诊慢特病</w:t>
      </w:r>
      <w:r>
        <w:rPr>
          <w:rFonts w:hint="eastAsia" w:ascii="Times New Roman" w:hAnsi="Times New Roman" w:eastAsia="仿宋_GB2312" w:cs="Times New Roman"/>
          <w:sz w:val="32"/>
          <w:szCs w:val="32"/>
        </w:rPr>
        <w:t>认</w:t>
      </w:r>
      <w:r>
        <w:rPr>
          <w:rFonts w:ascii="Times New Roman" w:hAnsi="Times New Roman" w:eastAsia="仿宋_GB2312" w:cs="Times New Roman"/>
          <w:sz w:val="32"/>
          <w:szCs w:val="32"/>
        </w:rPr>
        <w:t>定标准</w:t>
      </w:r>
    </w:p>
    <w:p>
      <w:pPr>
        <w:keepNext w:val="0"/>
        <w:keepLines w:val="0"/>
        <w:pageBreakBefore w:val="0"/>
        <w:kinsoku/>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p>
    <w:p>
      <w:pPr>
        <w:keepNext w:val="0"/>
        <w:keepLines w:val="0"/>
        <w:pageBreakBefore w:val="0"/>
        <w:kinsoku/>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p>
    <w:p>
      <w:pPr>
        <w:keepNext w:val="0"/>
        <w:keepLines w:val="0"/>
        <w:pageBreakBefore w:val="0"/>
        <w:kinsoku/>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p>
    <w:p>
      <w:pPr>
        <w:keepNext w:val="0"/>
        <w:keepLines w:val="0"/>
        <w:pageBreakBefore w:val="0"/>
        <w:kinsoku/>
        <w:wordWrap w:val="0"/>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江市医疗保障局</w:t>
      </w:r>
      <w:r>
        <w:rPr>
          <w:rFonts w:hint="eastAsia" w:ascii="Times New Roman" w:hAnsi="Times New Roman" w:eastAsia="仿宋_GB2312" w:cs="Times New Roman"/>
          <w:sz w:val="32"/>
          <w:szCs w:val="32"/>
        </w:rPr>
        <w:t xml:space="preserve">     </w:t>
      </w:r>
    </w:p>
    <w:p>
      <w:pPr>
        <w:keepNext w:val="0"/>
        <w:keepLines w:val="0"/>
        <w:pageBreakBefore w:val="0"/>
        <w:kinsoku/>
        <w:wordWrap w:val="0"/>
        <w:topLinePunct w:val="0"/>
        <w:autoSpaceDE/>
        <w:autoSpaceDN/>
        <w:bidi w:val="0"/>
        <w:adjustRightInd/>
        <w:snapToGrid/>
        <w:spacing w:line="620" w:lineRule="exact"/>
        <w:ind w:right="0" w:firstLine="5440" w:firstLineChars="1700"/>
        <w:jc w:val="both"/>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2023年12月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 xml:space="preserve">日 </w:t>
      </w:r>
      <w:r>
        <w:rPr>
          <w:rFonts w:hint="eastAsia" w:ascii="Times New Roman" w:hAnsi="Times New Roman" w:eastAsia="仿宋_GB2312" w:cs="Times New Roman"/>
          <w:sz w:val="32"/>
          <w:szCs w:val="32"/>
        </w:rPr>
        <w:t xml:space="preserve">   </w:t>
      </w:r>
    </w:p>
    <w:p>
      <w:pPr>
        <w:keepNext w:val="0"/>
        <w:keepLines w:val="0"/>
        <w:pageBreakBefore w:val="0"/>
        <w:kinsoku/>
        <w:topLinePunct w:val="0"/>
        <w:autoSpaceDE/>
        <w:autoSpaceDN/>
        <w:bidi w:val="0"/>
        <w:adjustRightInd/>
        <w:snapToGrid/>
        <w:spacing w:line="620" w:lineRule="exact"/>
        <w:ind w:right="0" w:firstLine="640" w:firstLineChars="200"/>
        <w:jc w:val="both"/>
        <w:textAlignment w:val="auto"/>
        <w:rPr>
          <w:rFonts w:hint="eastAsia" w:ascii="Times New Roman" w:hAnsi="Times New Roman" w:eastAsia="仿宋_GB2312" w:cs="Times New Roman"/>
          <w:sz w:val="32"/>
          <w:szCs w:val="32"/>
        </w:rPr>
      </w:pPr>
    </w:p>
    <w:p>
      <w:pPr>
        <w:keepNext w:val="0"/>
        <w:keepLines w:val="0"/>
        <w:pageBreakBefore w:val="0"/>
        <w:kinsoku/>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（此件主动公开）</w:t>
      </w:r>
    </w:p>
    <w:p>
      <w:pPr>
        <w:keepNext w:val="0"/>
        <w:keepLines w:val="0"/>
        <w:pageBreakBefore w:val="0"/>
        <w:kinsoku/>
        <w:topLinePunct w:val="0"/>
        <w:autoSpaceDE/>
        <w:autoSpaceDN/>
        <w:bidi w:val="0"/>
        <w:adjustRightInd/>
        <w:snapToGrid/>
        <w:spacing w:line="620" w:lineRule="exact"/>
        <w:ind w:right="0" w:firstLine="640" w:firstLineChars="200"/>
        <w:jc w:val="both"/>
        <w:textAlignment w:val="auto"/>
        <w:rPr>
          <w:rFonts w:ascii="Times New Roman" w:hAnsi="Times New Roman" w:eastAsia="仿宋_GB2312" w:cs="Times New Roman"/>
          <w:sz w:val="32"/>
          <w:szCs w:val="32"/>
        </w:rPr>
        <w:sectPr>
          <w:footerReference r:id="rId3" w:type="default"/>
          <w:pgSz w:w="11906" w:h="16838"/>
          <w:pgMar w:top="2098" w:right="1474" w:bottom="1984" w:left="1588" w:header="851" w:footer="851" w:gutter="0"/>
          <w:cols w:space="425" w:num="1"/>
          <w:docGrid w:type="lines" w:linePitch="312" w:charSpace="0"/>
        </w:sectPr>
      </w:pPr>
    </w:p>
    <w:p>
      <w:pPr>
        <w:spacing w:line="400" w:lineRule="exac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九江市新增病种表</w:t>
      </w:r>
    </w:p>
    <w:tbl>
      <w:tblPr>
        <w:tblStyle w:val="12"/>
        <w:tblW w:w="14709" w:type="dxa"/>
        <w:jc w:val="center"/>
        <w:tblLayout w:type="autofit"/>
        <w:tblCellMar>
          <w:top w:w="0" w:type="dxa"/>
          <w:left w:w="108" w:type="dxa"/>
          <w:bottom w:w="0" w:type="dxa"/>
          <w:right w:w="108" w:type="dxa"/>
        </w:tblCellMar>
      </w:tblPr>
      <w:tblGrid>
        <w:gridCol w:w="817"/>
        <w:gridCol w:w="1701"/>
        <w:gridCol w:w="4253"/>
        <w:gridCol w:w="850"/>
        <w:gridCol w:w="1276"/>
        <w:gridCol w:w="1843"/>
        <w:gridCol w:w="1842"/>
        <w:gridCol w:w="2127"/>
      </w:tblGrid>
      <w:tr>
        <w:tblPrEx>
          <w:tblCellMar>
            <w:top w:w="0" w:type="dxa"/>
            <w:left w:w="108" w:type="dxa"/>
            <w:bottom w:w="0" w:type="dxa"/>
            <w:right w:w="108" w:type="dxa"/>
          </w:tblCellMar>
        </w:tblPrEx>
        <w:trPr>
          <w:trHeight w:val="560" w:hRule="atLeast"/>
          <w:jc w:val="center"/>
        </w:trPr>
        <w:tc>
          <w:tcPr>
            <w:tcW w:w="817"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序号</w:t>
            </w:r>
          </w:p>
        </w:tc>
        <w:tc>
          <w:tcPr>
            <w:tcW w:w="1701" w:type="dxa"/>
            <w:vMerge w:val="restart"/>
            <w:tcBorders>
              <w:top w:val="single" w:color="auto" w:sz="4" w:space="0"/>
              <w:left w:val="nil"/>
              <w:right w:val="single" w:color="auto" w:sz="4" w:space="0"/>
            </w:tcBorders>
            <w:shd w:val="clear" w:color="auto" w:fill="auto"/>
            <w:vAlign w:val="center"/>
          </w:tcPr>
          <w:p>
            <w:pPr>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新病种编码</w:t>
            </w:r>
          </w:p>
        </w:tc>
        <w:tc>
          <w:tcPr>
            <w:tcW w:w="4253" w:type="dxa"/>
            <w:vMerge w:val="restart"/>
            <w:tcBorders>
              <w:top w:val="single" w:color="auto" w:sz="4" w:space="0"/>
              <w:left w:val="nil"/>
              <w:right w:val="single" w:color="auto" w:sz="4" w:space="0"/>
            </w:tcBorders>
            <w:shd w:val="clear" w:color="auto" w:fill="auto"/>
            <w:vAlign w:val="center"/>
          </w:tcPr>
          <w:p>
            <w:pPr>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新病种名称</w:t>
            </w:r>
          </w:p>
        </w:tc>
        <w:tc>
          <w:tcPr>
            <w:tcW w:w="2126" w:type="dxa"/>
            <w:gridSpan w:val="2"/>
            <w:vMerge w:val="restart"/>
            <w:tcBorders>
              <w:top w:val="single" w:color="auto" w:sz="4" w:space="0"/>
              <w:left w:val="nil"/>
              <w:right w:val="single" w:color="auto" w:sz="4" w:space="0"/>
            </w:tcBorders>
            <w:shd w:val="clear" w:color="auto" w:fill="auto"/>
            <w:vAlign w:val="center"/>
          </w:tcPr>
          <w:p>
            <w:pPr>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新病种类型</w:t>
            </w: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单病种限额</w:t>
            </w:r>
          </w:p>
        </w:tc>
        <w:tc>
          <w:tcPr>
            <w:tcW w:w="2127" w:type="dxa"/>
            <w:vMerge w:val="restart"/>
            <w:tcBorders>
              <w:top w:val="single" w:color="auto" w:sz="4" w:space="0"/>
              <w:left w:val="nil"/>
              <w:right w:val="single" w:color="auto" w:sz="4" w:space="0"/>
            </w:tcBorders>
            <w:shd w:val="clear" w:color="auto" w:fill="auto"/>
            <w:vAlign w:val="center"/>
          </w:tcPr>
          <w:p>
            <w:pPr>
              <w:jc w:val="center"/>
              <w:rPr>
                <w:rFonts w:hint="default" w:ascii="Times New Roman" w:hAnsi="Times New Roman" w:eastAsia="仿宋_GB2312" w:cs="Times New Roman"/>
                <w:b/>
                <w:bCs/>
                <w:kern w:val="0"/>
                <w:sz w:val="22"/>
              </w:rPr>
            </w:pPr>
            <w:r>
              <w:rPr>
                <w:rFonts w:hint="eastAsia" w:ascii="黑体" w:hAnsi="黑体" w:eastAsia="黑体" w:cs="黑体"/>
                <w:b w:val="0"/>
                <w:bCs w:val="0"/>
                <w:kern w:val="0"/>
                <w:sz w:val="22"/>
              </w:rPr>
              <w:t>复审期限</w:t>
            </w:r>
          </w:p>
        </w:tc>
      </w:tr>
      <w:tr>
        <w:tblPrEx>
          <w:tblCellMar>
            <w:top w:w="0" w:type="dxa"/>
            <w:left w:w="108" w:type="dxa"/>
            <w:bottom w:w="0" w:type="dxa"/>
            <w:right w:w="108" w:type="dxa"/>
          </w:tblCellMar>
        </w:tblPrEx>
        <w:trPr>
          <w:trHeight w:val="453" w:hRule="atLeast"/>
          <w:jc w:val="center"/>
        </w:trPr>
        <w:tc>
          <w:tcPr>
            <w:tcW w:w="81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kern w:val="0"/>
                <w:sz w:val="22"/>
              </w:rPr>
            </w:pPr>
          </w:p>
        </w:tc>
        <w:tc>
          <w:tcPr>
            <w:tcW w:w="1701" w:type="dxa"/>
            <w:vMerge w:val="continue"/>
            <w:tcBorders>
              <w:left w:val="nil"/>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kern w:val="0"/>
                <w:sz w:val="22"/>
              </w:rPr>
            </w:pPr>
          </w:p>
        </w:tc>
        <w:tc>
          <w:tcPr>
            <w:tcW w:w="4253" w:type="dxa"/>
            <w:vMerge w:val="continue"/>
            <w:tcBorders>
              <w:left w:val="nil"/>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kern w:val="0"/>
                <w:sz w:val="22"/>
              </w:rPr>
            </w:pPr>
          </w:p>
        </w:tc>
        <w:tc>
          <w:tcPr>
            <w:tcW w:w="2126" w:type="dxa"/>
            <w:gridSpan w:val="2"/>
            <w:vMerge w:val="continue"/>
            <w:tcBorders>
              <w:left w:val="nil"/>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kern w:val="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职工医保</w:t>
            </w:r>
          </w:p>
        </w:tc>
        <w:tc>
          <w:tcPr>
            <w:tcW w:w="18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居民医保</w:t>
            </w:r>
          </w:p>
        </w:tc>
        <w:tc>
          <w:tcPr>
            <w:tcW w:w="2127" w:type="dxa"/>
            <w:vMerge w:val="continue"/>
            <w:tcBorders>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kern w:val="0"/>
                <w:sz w:val="22"/>
              </w:rPr>
            </w:pP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p>
        </w:tc>
        <w:tc>
          <w:tcPr>
            <w:tcW w:w="1701"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M00117</w:t>
            </w:r>
          </w:p>
        </w:tc>
        <w:tc>
          <w:tcPr>
            <w:tcW w:w="425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耐多药肺结核</w:t>
            </w:r>
          </w:p>
        </w:tc>
        <w:tc>
          <w:tcPr>
            <w:tcW w:w="850"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3685" w:type="dxa"/>
            <w:gridSpan w:val="2"/>
            <w:tcBorders>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不设年度最高支付限额</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2年</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p>
        </w:tc>
        <w:tc>
          <w:tcPr>
            <w:tcW w:w="1701"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M02000</w:t>
            </w:r>
          </w:p>
        </w:tc>
        <w:tc>
          <w:tcPr>
            <w:tcW w:w="425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精神病</w:t>
            </w:r>
          </w:p>
        </w:tc>
        <w:tc>
          <w:tcPr>
            <w:tcW w:w="850"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4000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4000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w:t>
            </w:r>
          </w:p>
        </w:tc>
        <w:tc>
          <w:tcPr>
            <w:tcW w:w="1701"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M07200</w:t>
            </w:r>
          </w:p>
        </w:tc>
        <w:tc>
          <w:tcPr>
            <w:tcW w:w="425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强直性脊柱炎</w:t>
            </w:r>
          </w:p>
        </w:tc>
        <w:tc>
          <w:tcPr>
            <w:tcW w:w="850"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3500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3500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w:t>
            </w:r>
          </w:p>
        </w:tc>
        <w:tc>
          <w:tcPr>
            <w:tcW w:w="1701"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M10800</w:t>
            </w:r>
          </w:p>
        </w:tc>
        <w:tc>
          <w:tcPr>
            <w:tcW w:w="425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重度骨质疏松症</w:t>
            </w:r>
          </w:p>
        </w:tc>
        <w:tc>
          <w:tcPr>
            <w:tcW w:w="850"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5000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5000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w:t>
            </w:r>
          </w:p>
        </w:tc>
        <w:tc>
          <w:tcPr>
            <w:tcW w:w="1701"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M02400</w:t>
            </w:r>
          </w:p>
        </w:tc>
        <w:tc>
          <w:tcPr>
            <w:tcW w:w="425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阿尔茨海默病</w:t>
            </w:r>
          </w:p>
        </w:tc>
        <w:tc>
          <w:tcPr>
            <w:tcW w:w="850"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6000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5000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w:t>
            </w:r>
          </w:p>
        </w:tc>
        <w:tc>
          <w:tcPr>
            <w:tcW w:w="1701"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M03600</w:t>
            </w:r>
          </w:p>
        </w:tc>
        <w:tc>
          <w:tcPr>
            <w:tcW w:w="425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青光眼</w:t>
            </w:r>
          </w:p>
        </w:tc>
        <w:tc>
          <w:tcPr>
            <w:tcW w:w="850"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5000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5000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7</w:t>
            </w:r>
          </w:p>
        </w:tc>
        <w:tc>
          <w:tcPr>
            <w:tcW w:w="1701" w:type="dxa"/>
            <w:tcBorders>
              <w:top w:val="single" w:color="000000" w:sz="4" w:space="0"/>
              <w:left w:val="nil"/>
              <w:bottom w:val="single" w:color="000000" w:sz="4" w:space="0"/>
              <w:right w:val="single" w:color="000000"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M09000</w:t>
            </w:r>
          </w:p>
        </w:tc>
        <w:tc>
          <w:tcPr>
            <w:tcW w:w="4253" w:type="dxa"/>
            <w:tcBorders>
              <w:top w:val="single" w:color="000000" w:sz="4" w:space="0"/>
              <w:left w:val="nil"/>
              <w:bottom w:val="single" w:color="000000" w:sz="4" w:space="0"/>
              <w:right w:val="single" w:color="000000"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骨关节炎</w:t>
            </w:r>
          </w:p>
        </w:tc>
        <w:tc>
          <w:tcPr>
            <w:tcW w:w="850"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拓展病种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5000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5000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5年</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8</w:t>
            </w:r>
          </w:p>
        </w:tc>
        <w:tc>
          <w:tcPr>
            <w:tcW w:w="1701"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M07300</w:t>
            </w:r>
          </w:p>
        </w:tc>
        <w:tc>
          <w:tcPr>
            <w:tcW w:w="425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慢性骨髓炎</w:t>
            </w:r>
          </w:p>
        </w:tc>
        <w:tc>
          <w:tcPr>
            <w:tcW w:w="850"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拓展病种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3500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3500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2年</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w:t>
            </w:r>
          </w:p>
        </w:tc>
        <w:tc>
          <w:tcPr>
            <w:tcW w:w="1701" w:type="dxa"/>
            <w:tcBorders>
              <w:top w:val="single" w:color="auto" w:sz="4" w:space="0"/>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M00300</w:t>
            </w:r>
          </w:p>
        </w:tc>
        <w:tc>
          <w:tcPr>
            <w:tcW w:w="4253" w:type="dxa"/>
            <w:tcBorders>
              <w:top w:val="single" w:color="auto" w:sz="4" w:space="0"/>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艾滋病</w:t>
            </w:r>
          </w:p>
        </w:tc>
        <w:tc>
          <w:tcPr>
            <w:tcW w:w="850"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拓展病种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6000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5000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w:t>
            </w:r>
          </w:p>
        </w:tc>
        <w:tc>
          <w:tcPr>
            <w:tcW w:w="1701" w:type="dxa"/>
            <w:tcBorders>
              <w:top w:val="nil"/>
              <w:left w:val="single" w:color="000000" w:sz="4" w:space="0"/>
              <w:bottom w:val="single" w:color="000000" w:sz="4" w:space="0"/>
              <w:right w:val="single" w:color="000000"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M01907</w:t>
            </w:r>
          </w:p>
        </w:tc>
        <w:tc>
          <w:tcPr>
            <w:tcW w:w="4253" w:type="dxa"/>
            <w:tcBorders>
              <w:top w:val="nil"/>
              <w:left w:val="nil"/>
              <w:bottom w:val="single" w:color="000000" w:sz="4" w:space="0"/>
              <w:right w:val="single" w:color="000000"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原发性慢性肾上腺皮质功能减退症</w:t>
            </w:r>
          </w:p>
        </w:tc>
        <w:tc>
          <w:tcPr>
            <w:tcW w:w="850"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拓展病种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3500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3500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CellMar>
            <w:top w:w="0" w:type="dxa"/>
            <w:left w:w="108" w:type="dxa"/>
            <w:bottom w:w="0" w:type="dxa"/>
            <w:right w:w="108" w:type="dxa"/>
          </w:tblCellMar>
        </w:tblPrEx>
        <w:trPr>
          <w:trHeight w:val="588" w:hRule="atLeast"/>
          <w:jc w:val="center"/>
        </w:trPr>
        <w:tc>
          <w:tcPr>
            <w:tcW w:w="817"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11</w:t>
            </w:r>
          </w:p>
        </w:tc>
        <w:tc>
          <w:tcPr>
            <w:tcW w:w="1701" w:type="dxa"/>
            <w:tcBorders>
              <w:top w:val="nil"/>
              <w:left w:val="single" w:color="000000" w:sz="4" w:space="0"/>
              <w:bottom w:val="single" w:color="000000" w:sz="4" w:space="0"/>
              <w:right w:val="single" w:color="000000"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M01910</w:t>
            </w:r>
          </w:p>
        </w:tc>
        <w:tc>
          <w:tcPr>
            <w:tcW w:w="4253" w:type="dxa"/>
            <w:tcBorders>
              <w:top w:val="nil"/>
              <w:left w:val="nil"/>
              <w:bottom w:val="single" w:color="000000" w:sz="4" w:space="0"/>
              <w:right w:val="single" w:color="000000"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皮质醇增多症</w:t>
            </w:r>
          </w:p>
        </w:tc>
        <w:tc>
          <w:tcPr>
            <w:tcW w:w="850"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tcBorders>
              <w:top w:val="nil"/>
              <w:left w:val="single" w:color="auto" w:sz="4" w:space="0"/>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拓展病种</w:t>
            </w:r>
          </w:p>
        </w:tc>
        <w:tc>
          <w:tcPr>
            <w:tcW w:w="1843"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3500</w:t>
            </w:r>
          </w:p>
        </w:tc>
        <w:tc>
          <w:tcPr>
            <w:tcW w:w="1842"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3500</w:t>
            </w:r>
          </w:p>
        </w:tc>
        <w:tc>
          <w:tcPr>
            <w:tcW w:w="2127" w:type="dxa"/>
            <w:tcBorders>
              <w:top w:val="nil"/>
              <w:left w:val="nil"/>
              <w:bottom w:val="single" w:color="auto" w:sz="4" w:space="0"/>
              <w:right w:val="single" w:color="auto" w:sz="4" w:space="0"/>
            </w:tcBorders>
            <w:shd w:val="clear" w:color="000000" w:fill="auto"/>
            <w:vAlign w:val="center"/>
          </w:tcPr>
          <w:p>
            <w:pPr>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bl>
    <w:p>
      <w:pPr>
        <w:spacing w:line="600" w:lineRule="exact"/>
        <w:rPr>
          <w:rFonts w:ascii="Times New Roman" w:hAnsi="Times New Roman" w:eastAsia="仿宋_GB2312" w:cs="Times New Roman"/>
          <w:sz w:val="32"/>
          <w:szCs w:val="32"/>
        </w:rPr>
        <w:sectPr>
          <w:pgSz w:w="16838" w:h="11906" w:orient="landscape"/>
          <w:pgMar w:top="1134" w:right="1134" w:bottom="1134" w:left="1134" w:header="851" w:footer="851" w:gutter="0"/>
          <w:cols w:space="425" w:num="1"/>
          <w:docGrid w:type="lines" w:linePitch="312" w:charSpace="0"/>
        </w:sectPr>
      </w:pPr>
    </w:p>
    <w:p>
      <w:pPr>
        <w:spacing w:line="400" w:lineRule="exact"/>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九江市现有病种与江西省病种目录映射关系表</w:t>
      </w:r>
    </w:p>
    <w:tbl>
      <w:tblPr>
        <w:tblStyle w:val="12"/>
        <w:tblW w:w="1461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34"/>
        <w:gridCol w:w="3402"/>
        <w:gridCol w:w="709"/>
        <w:gridCol w:w="1134"/>
        <w:gridCol w:w="3255"/>
        <w:gridCol w:w="997"/>
        <w:gridCol w:w="12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rPr>
            </w:pPr>
            <w:r>
              <w:rPr>
                <w:rFonts w:hint="eastAsia" w:ascii="黑体" w:hAnsi="黑体" w:eastAsia="黑体" w:cs="黑体"/>
                <w:b w:val="0"/>
                <w:bCs w:val="0"/>
                <w:kern w:val="0"/>
                <w:sz w:val="22"/>
              </w:rPr>
              <w:t>序号</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rPr>
            </w:pPr>
            <w:r>
              <w:rPr>
                <w:rFonts w:hint="eastAsia" w:ascii="黑体" w:hAnsi="黑体" w:eastAsia="黑体" w:cs="黑体"/>
                <w:b w:val="0"/>
                <w:bCs w:val="0"/>
                <w:kern w:val="0"/>
                <w:sz w:val="22"/>
              </w:rPr>
              <w:t>现有病种编码</w:t>
            </w:r>
          </w:p>
        </w:tc>
        <w:tc>
          <w:tcPr>
            <w:tcW w:w="34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rPr>
            </w:pPr>
            <w:r>
              <w:rPr>
                <w:rFonts w:hint="eastAsia" w:ascii="黑体" w:hAnsi="黑体" w:eastAsia="黑体" w:cs="黑体"/>
                <w:b w:val="0"/>
                <w:bCs w:val="0"/>
                <w:kern w:val="0"/>
                <w:sz w:val="22"/>
              </w:rPr>
              <w:t>现有病种名称</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rPr>
            </w:pPr>
            <w:r>
              <w:rPr>
                <w:rFonts w:hint="eastAsia" w:ascii="黑体" w:hAnsi="黑体" w:eastAsia="黑体" w:cs="黑体"/>
                <w:b w:val="0"/>
                <w:bCs w:val="0"/>
                <w:kern w:val="0"/>
                <w:sz w:val="22"/>
              </w:rPr>
              <w:t>类型</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rPr>
            </w:pPr>
            <w:r>
              <w:rPr>
                <w:rFonts w:hint="eastAsia" w:ascii="黑体" w:hAnsi="黑体" w:eastAsia="黑体" w:cs="黑体"/>
                <w:b w:val="0"/>
                <w:bCs w:val="0"/>
                <w:kern w:val="0"/>
                <w:sz w:val="22"/>
              </w:rPr>
              <w:t>省目录病种编码</w:t>
            </w:r>
          </w:p>
        </w:tc>
        <w:tc>
          <w:tcPr>
            <w:tcW w:w="32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rPr>
            </w:pPr>
            <w:r>
              <w:rPr>
                <w:rFonts w:hint="eastAsia" w:ascii="黑体" w:hAnsi="黑体" w:eastAsia="黑体" w:cs="黑体"/>
                <w:b w:val="0"/>
                <w:bCs w:val="0"/>
                <w:kern w:val="0"/>
                <w:sz w:val="22"/>
              </w:rPr>
              <w:t>省目录病种名称</w:t>
            </w:r>
          </w:p>
        </w:tc>
        <w:tc>
          <w:tcPr>
            <w:tcW w:w="227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rPr>
            </w:pPr>
            <w:r>
              <w:rPr>
                <w:rFonts w:hint="eastAsia" w:ascii="黑体" w:hAnsi="黑体" w:eastAsia="黑体" w:cs="黑体"/>
                <w:b w:val="0"/>
                <w:bCs w:val="0"/>
                <w:kern w:val="0"/>
                <w:sz w:val="22"/>
              </w:rPr>
              <w:t>类型</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rPr>
            </w:pPr>
            <w:r>
              <w:rPr>
                <w:rFonts w:hint="eastAsia" w:ascii="黑体" w:hAnsi="黑体" w:eastAsia="黑体" w:cs="黑体"/>
                <w:b w:val="0"/>
                <w:bCs w:val="0"/>
                <w:kern w:val="0"/>
                <w:sz w:val="22"/>
              </w:rPr>
              <w:t>复审期限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M00500</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恶性肿瘤</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M00500</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恶性肿瘤门诊治疗（含白血病）</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M07101</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系统性红斑狼疮</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M07101</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系统性红斑狼疮</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M01103</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地中海贫血（含输血）</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M01103</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地中海贫血（含输血）</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M01102</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再生障碍性贫血</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M01102</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再生障碍性贫血</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M01200</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血友病</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M01200</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血友病</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M02301</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帕金森氏综合症</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M02301</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帕金森氏综合症</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7</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M07801</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慢性肾功能衰竭（尿毒症期）</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M07805</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慢性肾功能衰竭（尿毒症期）</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8</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M08300</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器官移植后抗排斥治疗</w:t>
            </w:r>
          </w:p>
        </w:tc>
        <w:tc>
          <w:tcPr>
            <w:tcW w:w="709"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M08300</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器官移植抗排异治疗</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3402"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未细分移植器官</w:t>
            </w:r>
          </w:p>
        </w:tc>
        <w:tc>
          <w:tcPr>
            <w:tcW w:w="709"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M08301</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肾移植抗排异治疗</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985"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3402"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709"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M08302</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骨髓移植抗排异治疗</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985"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3402"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709"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M08303</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心移植抗排异治疗</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985"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3402"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709"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M08304</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肝移植抗排异治疗</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985"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3402"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709"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M08305</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肺移植抗排异治疗</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985"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3402"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709"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M08306</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肝肾移植抗排异治疗</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Ⅰ类</w:t>
            </w:r>
          </w:p>
        </w:tc>
        <w:tc>
          <w:tcPr>
            <w:tcW w:w="1276"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985"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M02000</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精神病</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M02100</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重性精神病</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M02200</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精神病</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M02100</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重性精神病</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M02101</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精神病</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M02100</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重性精神病</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M01902</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儿童生长激素缺乏症</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M01902</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儿童生长激素缺乏症（限居民）</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不复审、18岁终结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11</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M03904</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高血压病</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M03904</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高血压伴有并发症</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12</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M08402</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冠心病（冠脉支架置入术后）</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M04600</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冠心病</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M04600</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冠心病（冠脉狭窄达50%以上）</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M04600</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冠心病</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13</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M04301</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慢性心功能衰竭</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M04301</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慢性心力衰竭</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14</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M04200</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心肌病(原发性)</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M04200</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心肌病</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15</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M01603</w:t>
            </w:r>
          </w:p>
        </w:tc>
        <w:tc>
          <w:tcPr>
            <w:tcW w:w="34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糖尿病(合并并发症)</w:t>
            </w:r>
          </w:p>
        </w:tc>
        <w:tc>
          <w:tcPr>
            <w:tcW w:w="70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M01603</w:t>
            </w:r>
          </w:p>
        </w:tc>
        <w:tc>
          <w:tcPr>
            <w:tcW w:w="325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糖尿病伴有并发症</w:t>
            </w:r>
          </w:p>
        </w:tc>
        <w:tc>
          <w:tcPr>
            <w:tcW w:w="997"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shd w:val="clear" w:color="000000" w:fill="auto"/>
            <w:vAlign w:val="center"/>
          </w:tcPr>
          <w:p>
            <w:pPr>
              <w:spacing w:line="30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序号</w:t>
            </w:r>
          </w:p>
        </w:tc>
        <w:tc>
          <w:tcPr>
            <w:tcW w:w="1134" w:type="dxa"/>
            <w:shd w:val="clear" w:color="000000" w:fill="auto"/>
            <w:vAlign w:val="center"/>
          </w:tcPr>
          <w:p>
            <w:pPr>
              <w:spacing w:line="30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现有病种编码</w:t>
            </w:r>
          </w:p>
        </w:tc>
        <w:tc>
          <w:tcPr>
            <w:tcW w:w="3402" w:type="dxa"/>
            <w:shd w:val="clear" w:color="000000" w:fill="auto"/>
            <w:vAlign w:val="center"/>
          </w:tcPr>
          <w:p>
            <w:pPr>
              <w:spacing w:line="30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现有病种名称</w:t>
            </w:r>
          </w:p>
        </w:tc>
        <w:tc>
          <w:tcPr>
            <w:tcW w:w="709" w:type="dxa"/>
            <w:shd w:val="clear" w:color="000000" w:fill="auto"/>
            <w:vAlign w:val="center"/>
          </w:tcPr>
          <w:p>
            <w:pPr>
              <w:spacing w:line="30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类型</w:t>
            </w:r>
          </w:p>
        </w:tc>
        <w:tc>
          <w:tcPr>
            <w:tcW w:w="1134" w:type="dxa"/>
            <w:shd w:val="clear" w:color="000000" w:fill="auto"/>
            <w:vAlign w:val="center"/>
          </w:tcPr>
          <w:p>
            <w:pPr>
              <w:spacing w:line="30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省目录病种编码</w:t>
            </w:r>
          </w:p>
        </w:tc>
        <w:tc>
          <w:tcPr>
            <w:tcW w:w="3255" w:type="dxa"/>
            <w:shd w:val="clear" w:color="000000" w:fill="auto"/>
            <w:vAlign w:val="center"/>
          </w:tcPr>
          <w:p>
            <w:pPr>
              <w:spacing w:line="30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省目录病种名称</w:t>
            </w:r>
          </w:p>
        </w:tc>
        <w:tc>
          <w:tcPr>
            <w:tcW w:w="2273" w:type="dxa"/>
            <w:gridSpan w:val="2"/>
            <w:shd w:val="clear" w:color="000000" w:fill="auto"/>
            <w:vAlign w:val="center"/>
          </w:tcPr>
          <w:p>
            <w:pPr>
              <w:spacing w:line="30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类型</w:t>
            </w:r>
          </w:p>
        </w:tc>
        <w:tc>
          <w:tcPr>
            <w:tcW w:w="1985" w:type="dxa"/>
            <w:shd w:val="clear" w:color="000000" w:fill="auto"/>
            <w:vAlign w:val="center"/>
          </w:tcPr>
          <w:p>
            <w:pPr>
              <w:spacing w:line="30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复审期限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16</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M05100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慢性支气管炎</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M05100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慢性支气管炎</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17</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M05300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慢性阻塞性肺病</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M05300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慢性阻塞性肺疾病</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18</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M05400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慢性支气管哮喘</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M05400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支气管哮喘</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19</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M02500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癫痫</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M02500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癫痫</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20</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M04803</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脑卒中后遗症</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M04800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脑卒中</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21</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M03200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重症肌无力</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M03200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重症肌无力</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22</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M00205</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慢性肝炎（慢性活动性肝炎）</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M00210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慢性肝炎</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23</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M06200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肝硬化</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M06200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肝硬化</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24</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M07800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慢性肾病</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M07807</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慢性肾脏病</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vMerge w:val="restart"/>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25</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M00100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结核病</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M00100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结核</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vMerge w:val="restart"/>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vMerge w:val="continue"/>
            <w:shd w:val="clear" w:color="000000" w:fill="auto"/>
            <w:vAlign w:val="center"/>
          </w:tcPr>
          <w:p>
            <w:pPr>
              <w:spacing w:line="300" w:lineRule="exact"/>
              <w:jc w:val="center"/>
              <w:rPr>
                <w:rFonts w:hint="default" w:ascii="Times New Roman" w:hAnsi="Times New Roman" w:eastAsia="仿宋_GB2312" w:cs="Times New Roman"/>
                <w:kern w:val="0"/>
                <w:sz w:val="22"/>
              </w:rPr>
            </w:pP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M00105</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结核病</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M00100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结核</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vMerge w:val="continue"/>
            <w:shd w:val="clear" w:color="000000" w:fill="auto"/>
            <w:vAlign w:val="center"/>
          </w:tcPr>
          <w:p>
            <w:pPr>
              <w:spacing w:line="300" w:lineRule="exact"/>
              <w:jc w:val="center"/>
              <w:rPr>
                <w:rFonts w:hint="default"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26</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M04401</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慢性房颤</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M04401</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心房颤动</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27</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M02207</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儿童孤独症</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M02207</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儿童孤独症（限居民）</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不复审、18岁终结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28</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M06000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克罗恩氏病</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M06000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克罗恩病</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29</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M06900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类风湿性关节炎</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M06900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类风湿性关节炎</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基本病种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30</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M02601</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儿童脑瘫</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M02601</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儿童脑瘫（限居民）</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拓展病种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不复审、18岁终结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31</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M06800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系统性硬皮病</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M06800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系统性硬皮病</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拓展病种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32</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M01400</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变应性亚败血症</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M01400</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变应性亚败血症（成人still病）</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拓展病种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33</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M00402</w:t>
            </w:r>
          </w:p>
        </w:tc>
        <w:tc>
          <w:tcPr>
            <w:tcW w:w="3402"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血吸虫病</w:t>
            </w:r>
          </w:p>
        </w:tc>
        <w:tc>
          <w:tcPr>
            <w:tcW w:w="709"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134"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M00402</w:t>
            </w:r>
          </w:p>
        </w:tc>
        <w:tc>
          <w:tcPr>
            <w:tcW w:w="325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血吸虫病</w:t>
            </w:r>
          </w:p>
        </w:tc>
        <w:tc>
          <w:tcPr>
            <w:tcW w:w="997"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Ⅱ类</w:t>
            </w:r>
          </w:p>
        </w:tc>
        <w:tc>
          <w:tcPr>
            <w:tcW w:w="1276"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拓展病种</w:t>
            </w:r>
          </w:p>
        </w:tc>
        <w:tc>
          <w:tcPr>
            <w:tcW w:w="1985" w:type="dxa"/>
            <w:shd w:val="clear" w:color="000000" w:fill="auto"/>
            <w:vAlign w:val="center"/>
          </w:tcPr>
          <w:p>
            <w:pPr>
              <w:spacing w:line="3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5年</w:t>
            </w:r>
          </w:p>
        </w:tc>
      </w:tr>
    </w:tbl>
    <w:p>
      <w:pPr>
        <w:spacing w:line="300" w:lineRule="exact"/>
        <w:rPr>
          <w:rFonts w:hint="default" w:ascii="Times New Roman" w:hAnsi="Times New Roman" w:eastAsia="楷体_GB2312" w:cs="Times New Roman"/>
          <w:kern w:val="0"/>
          <w:sz w:val="22"/>
        </w:rPr>
      </w:pPr>
      <w:r>
        <w:rPr>
          <w:rFonts w:hint="default" w:ascii="Times New Roman" w:hAnsi="Times New Roman" w:eastAsia="楷体_GB2312" w:cs="Times New Roman"/>
          <w:sz w:val="22"/>
        </w:rPr>
        <w:t>备注：九江市现有病种对应至江西省病种目录相应病种后，原年度最高支付限额保持不变，即</w:t>
      </w:r>
      <w:r>
        <w:rPr>
          <w:rFonts w:hint="default" w:ascii="Times New Roman" w:hAnsi="Times New Roman" w:eastAsia="楷体_GB2312" w:cs="Times New Roman"/>
          <w:kern w:val="0"/>
          <w:sz w:val="22"/>
        </w:rPr>
        <w:t>Ⅰ类病种不设年度最高支付限额，Ⅱ类病种除儿童孤独症和儿童脑瘫各为8000元/人.年外，其余各病种的</w:t>
      </w:r>
      <w:r>
        <w:rPr>
          <w:rFonts w:hint="default" w:ascii="Times New Roman" w:hAnsi="Times New Roman" w:eastAsia="楷体_GB2312" w:cs="Times New Roman"/>
          <w:sz w:val="22"/>
        </w:rPr>
        <w:t>年度最高支付限额为：</w:t>
      </w:r>
      <w:r>
        <w:rPr>
          <w:rFonts w:hint="default" w:ascii="Times New Roman" w:hAnsi="Times New Roman" w:eastAsia="楷体_GB2312" w:cs="Times New Roman"/>
          <w:kern w:val="0"/>
          <w:sz w:val="22"/>
        </w:rPr>
        <w:t>职工医保6000元/人.年、居民医保5000元/人.年。</w:t>
      </w:r>
    </w:p>
    <w:p>
      <w:pPr>
        <w:spacing w:line="400" w:lineRule="exact"/>
        <w:rPr>
          <w:rFonts w:ascii="楷体" w:hAnsi="楷体" w:eastAsia="楷体" w:cs="Times New Roman"/>
          <w:sz w:val="22"/>
        </w:rPr>
        <w:sectPr>
          <w:pgSz w:w="16838" w:h="11906" w:orient="landscape"/>
          <w:pgMar w:top="1134" w:right="1134" w:bottom="1134" w:left="1134" w:header="851" w:footer="851" w:gutter="0"/>
          <w:cols w:space="425" w:num="1"/>
          <w:docGrid w:type="lines" w:linePitch="312" w:charSpace="0"/>
        </w:sectPr>
      </w:pPr>
    </w:p>
    <w:p>
      <w:pPr>
        <w:spacing w:line="400" w:lineRule="exact"/>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kinsoku/>
        <w:wordWrap/>
        <w:overflowPunct/>
        <w:topLinePunct w:val="0"/>
        <w:autoSpaceDE/>
        <w:autoSpaceDN/>
        <w:bidi w:val="0"/>
        <w:adjustRightInd/>
        <w:snapToGrid/>
        <w:spacing w:line="400" w:lineRule="exact"/>
        <w:ind w:firstLine="440" w:firstLineChars="200"/>
        <w:textAlignment w:val="auto"/>
        <w:rPr>
          <w:rFonts w:ascii="楷体" w:hAnsi="楷体" w:eastAsia="楷体" w:cs="Times New Roman"/>
          <w:sz w:val="2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门诊慢特病认定标准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cs="仿宋_GB2312"/>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1.恶性肿瘤门诊治疗（含白血病）</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（2）近二年内的放疗、化疗、手术治疗等抗肿瘤治疗记录1次或对症姑息治疗记录1次；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（3）病理报告、细胞学阳性检查或二级及以上医疗机构诊断恶性肿瘤的影像学报告单（CT或MRI）；</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（4）其</w:t>
      </w:r>
      <w:r>
        <w:rPr>
          <w:rFonts w:hint="default" w:ascii="Times New Roman" w:hAnsi="Times New Roman" w:eastAsia="仿宋_GB2312" w:cs="Times New Roman"/>
          <w:bCs/>
          <w:spacing w:val="6"/>
          <w:sz w:val="32"/>
          <w:szCs w:val="32"/>
        </w:rPr>
        <w:t>他与病种相关材料（CT、核磁共振、同位素、内窥镜）。</w:t>
      </w:r>
      <w:r>
        <w:rPr>
          <w:rFonts w:hint="default" w:ascii="Times New Roman" w:hAnsi="Times New Roman" w:eastAsia="仿宋_GB2312" w:cs="Times New Roman"/>
          <w:bCs/>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认定标准：（1）+（2）+（3）（4）中任意一项。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2.系统性红斑狼疮</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（2）系统受损相关检查报告单；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（3）抗</w:t>
      </w:r>
      <w:r>
        <w:rPr>
          <w:rFonts w:hint="default" w:ascii="Times New Roman" w:hAnsi="Times New Roman" w:eastAsia="仿宋_GB2312" w:cs="Times New Roman"/>
          <w:bCs/>
          <w:spacing w:val="-6"/>
          <w:sz w:val="32"/>
          <w:szCs w:val="32"/>
        </w:rPr>
        <w:t>核型贫血（白细胞减少、血小板减少）的血象报告单；</w:t>
      </w:r>
      <w:r>
        <w:rPr>
          <w:rFonts w:hint="default" w:ascii="Times New Roman" w:hAnsi="Times New Roman" w:eastAsia="仿宋_GB2312" w:cs="Times New Roman"/>
          <w:bCs/>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（4）尿蛋白或管型尿阳性报告单；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（5）抗核抗体阳性报告单；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（6）近二年内的相关免疫学阳性检查报告单。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认定标准：（1）+（2）+（3）（4）（5）（6）中任意两项。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3.地中海贫血（含输血）</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pacing w:val="6"/>
          <w:sz w:val="32"/>
          <w:szCs w:val="32"/>
        </w:rPr>
        <w:t>二级以上医疗机构出具的“出院小结”或“疾病诊断证明书”；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（2）二级以上医疗机构出具的具有小细胞低色素贫血的血常规报告；</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（3）二级以上医疗机构出具的地中海贫血基因检测阳性检查报告；</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（4）其他与疾病相关的近期肝功能（含黄疸指数）、肝脾B超、骨髓细胞学等检查报告。</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认定标准：（1）+（2）（3）（4）中任意一项。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4.再生障碍性贫血</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（2）骨髓细胞学检查或骨髓活检报告单；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（3）一次及以上二、三系血细胞减少。</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认定标准：（1）+（2）（3）中任意一项。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5.血友病</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（2）凝血因子测定异常；</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（3）凝血报告提示凝血时间延长、凝血酶源消耗不良；</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（4）实验室全套：PT、APTT、TT报告单；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（5）脏器或关节出血（畸变）的相关材料。</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认定标准：（1）+（2）+（3）+（4）（5）中任意一项。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6.帕金森氏综合症</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（2）有服用多巴胺类药物史；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（3）病史一年以上，有3次门诊或1次住院病历记录。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7.慢性肾功能衰竭（尿毒症期）</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（2）提供2次以上的肾功能检查报告单（肾小球滤过率≤15ml/分或血肌酐≥707μmol/L）；</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（3）门诊（住院）的腹透或血透治疗记录单；</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（4）与病种相关的其他检查资料。</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认定标准：（1）+（2）（3）（4）中任意一项。</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8.器官移植抗排异治疗、肾移植抗排异治疗、骨髓移植抗排异治疗、心移植抗排异治疗、肝移植抗排异治疗、肺移植抗排异治疗、肝肾移植抗排异治疗</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（2）近二年内的2次连续服用抗排斥药物治疗记录；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（3）其他与病种相关的检查化验材料。</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认定标准：（1）+（2）（3）中任意一项。</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9.耐多药肺结核</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（2）有2种或以上抗结核药耐药试验阳性；</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（3）经耐药结核病定点救治医院病原学证实利福平耐药的出院患者，需门诊长期抗痨治疗，并既往有结核病住院病史且诊断明确的。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w:t>
      </w:r>
      <w:r>
        <w:rPr>
          <w:rFonts w:hint="default" w:ascii="Times New Roman" w:hAnsi="Times New Roman" w:eastAsia="仿宋_GB2312" w:cs="Times New Roman"/>
          <w:bCs/>
          <w:spacing w:val="6"/>
          <w:sz w:val="32"/>
          <w:szCs w:val="32"/>
        </w:rPr>
        <w:t>定标准：（1）+（2）（3）中任意一项,与结核病不同时享受。</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10.重性精神病</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（1）二级及以上精神病专科医院或三级甲等综合医院出具并由精神科2名副主任医师（含）以上的专科医师签署的“出院小结”或“疾病诊断证明书”；</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（2）有重性精神病诊断、检查、治疗材料，病程2年以上；</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（3）符合精神疾病的诊断标准中重性精神病界定条件，包括以下类别疾病：</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①重症精神病（包括精神分裂症、心境障碍、器质性精神障碍）。按照临床诊疗规范确诊为精神分裂症、心境障碍、器质性精神障碍的（伴有精神症状，需要使用精神类药物治疗的，包括癫痫相关精神行为障碍）。心境障碍具体应为伴有精神病性症状的重度抑郁发作、有精神病性症状的躁狂症、双相情感障碍存在精神病性症状。</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②精神发育迟滞（伴有精神症状的）。按照临床诊疗规范确诊为精神发育迟滞（智力障碍），需要用精神类药物控制的精神行为异常。</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③持久性妄想性障碍，即偏执性精神障碍。</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④分裂情感性障碍。</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认定标准：（1）+（2）+（3），与精神病不同时享受。</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11.儿童生长激素缺乏症</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pacing w:val="-23"/>
          <w:sz w:val="32"/>
          <w:szCs w:val="32"/>
        </w:rPr>
        <w:t>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（2）初次诊断病历记录；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（3）治疗前X线腕骨片报告单符合骨龄落后1年以上；</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（4）近二年内分泌测试阳性结果；</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（5）符合生长激素缺乏诊断的其他检查材料（如：身高≤-2SD或低于正常儿童生长曲线第3百分位或IGF-1值低下）。</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认定标准：（1）+（2）+（3）+（4）+（5）。</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12.高血压伴有并发症</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（1）二级及以上医疗机构出具的“出院小结”或“疾病诊断证明书”中明确为高血压2级及以上；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（2）有治疗高血压的门诊记录3次或住院病历记录1次；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（3）近二年内显示心脏左室肥厚或心脏扩大或心功能不全的相关检查（多普勒、CT、磁共振、ECT等）；</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（4）近二年内显示脑出血或脑梗塞的相关检查（CT、磁共振等）；</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（5）近二年内显示肾功能不全的相关检查（肾功能、微量尿蛋白、血糖等）；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（6）近二年内显示眼底病变的相关检查（眼底造影或照相）；</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（7）近二年内显示动脉硬化、增厚或狭窄的相关检查（多普勒、造影等）。</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认定标准：（1）+（2）+（3）（4）（5）（6）（7）中任意一项。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13.冠心病</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（2）冠状动脉造影显示有冠脉狭窄；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（3）心电图ST、T明显缺血性改变或负荷运动试验阳性；</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（4）有心肌梗死住院病历记录。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认定标准：（1）+（2）或者（1）+（3）+（4）。</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14.慢性心力衰竭</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（1）二级及以上医疗机构出具的“出院小结”（不能以疾病诊断证明书代替）；</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（2）以下检查结果提示心脏病变：心电图或动态心电图或心电图负荷运动试验或胸部X线或冠脉造影或心脏超声检查等；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（3）近二年内心脏彩超提示心脏舒缩异常；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认定标准：（1）+（2）+（3）。不与冠心病重复办理。风湿性心脏病、肺源性心脏病合并至本病种统一办理。</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15.心肌病</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（2）心脏超声检查提示心肌肥厚或心脏扩大；</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（3）心电图检测显示心律失常；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（4）出现充血性心力衰竭症状；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（5）肌酶谱检查显示心肌受损；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（6）其他影像和实验室检查能提示心肌病的；</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（7）近二年内3次门诊或1次住院记录。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认定标准：（1）+（7）+（2）（3）（4）（5）（6）中任意两项。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16.糖尿病伴有并发症</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（2）近一年内3次使用降糖药或胰岛素的门诊记录或1次住院病历记录；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（3）提供肾功能报告单或眼底造影或肌电图或神经检查阳性报告单。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17.慢性支气管炎</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（2）近二年内的影像阳性报告单；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（3）痰检阳性报告单；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（4）两年以上病程，3次门诊或1次住院记录。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认定标准：（1）+（4）+（2）（3）中任意一项。</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18.慢性阻塞性肺疾病</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（2）近二年内的肺功能阳性报告单；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（3）近二年内的胸片阳性报告单；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（4）近二年内的CT阳性报告单。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认定标准：（1）+（2）（3）（4）中任意一项。</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19.支气管哮喘</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（1）二级及以上医疗机构出具的近3年“出院小结”或“疾病诊断证明书”；</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（2）半年以上3次门诊或1次住院记录；</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（3）支气管舒张试验阳性或支气管激发试验或运动试验阳性或昼夜PEF变异率≥20%。</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20.癫痫</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（1）二级及以上医疗机构出具的“出院小结”（不能以疾病诊断证明书代替）；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（2）半年以上3次门诊或1次住院治疗记录；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（3）脑电图检查阳性报告单。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认定标准：（1）+（2）（3）中任意一项。</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21.脑卒中</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（1）二级及以上医疗机构出具的“出院小结”（不能以疾病诊断证明书代替）；</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（2）至少一次脑CT或MRI检查报告单（明确显示有出血或梗塞）；</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（3）住院治疗出院后3个月以上仍有未恢复的明显后遗症，包括运动障碍、语言障碍、智力障碍、视力障碍等病史资料。</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22.重症肌无力</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（1）三级医疗机构出具的“出院小结”（不能以疾病诊断证明书代替）；</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（2）肌电图异常报告或重频电制激异常；</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（3）病理诊断提示肌纤维改变、神经肌肉接头处改变、胸腺病变；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（4）血清自身抗体阳性报告单；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（5）其他辅助实验阳性报告单：肌疲劳实验、腾喜龙试验和新斯的明试验等。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认定标准：（1）+（2）（3）（4）（5）中任意一项。</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23.慢性肝炎</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（2）近二年内3次门诊或1次住院治疗病历记录；</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（3）病毒性肝炎阳性检查报告2次并有一次核酸检查阳性。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24.肝硬化</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（2）肝硬化影像学检查阳性报告。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25.慢性肾脏病</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（2）2次以上的尿检异常（血尿、蛋白尿、管型尿）；</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（3）有水肿及高血压病史；</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（4）肾功能受损或肾功能衰竭(CKD G2-G4 分期)的检查报告单;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（5）肾活检病理检查阳性报告单；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（6）半年以上的累计3次门诊或1次住院病历记录。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认定标准：（1）+（6）+（2）（3）（4）（5）的任意一项。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26.结核</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（2）结核菌病原性检测阳性报告；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（3）近一年内服用抗结核药物记录。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27.精神病</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（1）二级及以上精神病专科医院或三级甲等综合医院精神科主治医师（含）以上医师签署出具的“出院小结”或“疾病诊断证明书”；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（2）连续一年以上3次门诊或1次住院治疗精神病病历；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（3）排除其他器质性、症状性、中毒性等所致的应急性精神症状。</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28.心房颤动</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（2）至</w:t>
      </w:r>
      <w:r>
        <w:rPr>
          <w:rFonts w:hint="default" w:ascii="Times New Roman" w:hAnsi="Times New Roman" w:eastAsia="仿宋_GB2312" w:cs="Times New Roman"/>
          <w:bCs/>
          <w:spacing w:val="-11"/>
          <w:sz w:val="32"/>
          <w:szCs w:val="32"/>
        </w:rPr>
        <w:t>少两次心电图提示房颤或24小时动态心电图提示房颤；</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（3）近二年来3次门诊或1次住院病历。</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29.儿童孤独症</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（1）三</w:t>
      </w:r>
      <w:r>
        <w:rPr>
          <w:rFonts w:hint="default" w:ascii="Times New Roman" w:hAnsi="Times New Roman" w:eastAsia="仿宋_GB2312" w:cs="Times New Roman"/>
          <w:bCs/>
          <w:spacing w:val="-11"/>
          <w:sz w:val="32"/>
          <w:szCs w:val="32"/>
        </w:rPr>
        <w:t xml:space="preserve">级甲等医疗机构出具的“出院小结”或“疾病诊断证明书”。   </w:t>
      </w:r>
      <w:r>
        <w:rPr>
          <w:rFonts w:hint="default" w:ascii="Times New Roman" w:hAnsi="Times New Roman" w:eastAsia="仿宋_GB2312" w:cs="Times New Roman"/>
          <w:bCs/>
          <w:sz w:val="32"/>
          <w:szCs w:val="32"/>
        </w:rPr>
        <w:t xml:space="preserve">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认定标准：（1）。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30.克罗恩病</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pacing w:val="-11"/>
          <w:sz w:val="32"/>
          <w:szCs w:val="32"/>
        </w:rPr>
        <w:t xml:space="preserve">三级甲等医疗机构出具的“出院小结”或“疾病诊断证明书”； </w:t>
      </w:r>
      <w:r>
        <w:rPr>
          <w:rFonts w:hint="default" w:ascii="Times New Roman" w:hAnsi="Times New Roman" w:eastAsia="仿宋_GB2312" w:cs="Times New Roman"/>
          <w:bCs/>
          <w:sz w:val="32"/>
          <w:szCs w:val="32"/>
        </w:rPr>
        <w:t xml:space="preserve">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（2）肠镜检查或CT、X线报告提示克罗恩病；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（3）病理结果（内镜活检或手术标本）提示克罗恩病。                               认定标准：（1）+（2）（3）中任意一项。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31.强直性脊柱炎</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（2）双侧骶髂关节炎Ⅱ-Ⅳ级，或单侧骶髂关节炎Ⅲ-Ⅳ级（炎性脊柱痛或非对称性以下肢关节为主的滑膜炎），骶髂关节影像学检查阳性报告单；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（3）血液检查血小板升高、贫血、血沉增快或C反应蛋白升高；</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（4）HLA-B27基因检测阳性；</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（5）影像检查病变部位阳性报告单；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认定标准：（1）+（2）+（3）（4）（5）中任意两项。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 32.重度骨质疏松症</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（2）DXA测定的中轴骨骨密度（腰椎或髋部）或桡骨远端1/3骨密度的T-值≤-2. 5且伴有脆性骨折；</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（3）无脆性骨折，但DXA测定的腰椎、股骨颈、全髋或桡骨远端1/3骨密度的T-值≤-3.0;</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（4）QCT腰椎骨密度≤80mg/cm3。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认定标准：（1）+（2）（3）（4）中任意一项。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33.阿尔茨海默病</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（2）脑部CT或MRI检查，显示脑室增大及脑沟变宽等异常，或者为全面的脑萎缩；</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（3）一年以上老年痴呆病史；</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（4）六个月以上3次门诊或1次住院病历记录；</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（5）通过神经系统检查及脑电图、CT检查排除脑动脉硬化及其他原因引起的痴呆。</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认定标准：（1）+（2）（3）（4）（5）任意两项。</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34.类风湿性关节炎</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（2）影像学检查提示皮下结节或关节骨质破坏、滑膜增生等关节异常改变；</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（3）实验室检查类风湿因子阳性（滴度&gt;1:20）；</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（4）其他辅助实验室检查阳性：抗核周因子，（ADF），抗环瓜氨酸多肽抗体（CCP），抗角蛋白抗体（AKA）；</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认定标准：（1）+（2）+（3）（4）中任意一项。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35.青光眼</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（2）青光眼相关检查（视野、视神经OCT、眼底照相的C/D比值）。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36.骨关节炎</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w:t>
      </w:r>
      <w:r>
        <w:rPr>
          <w:rFonts w:hint="default" w:ascii="Times New Roman" w:hAnsi="Times New Roman" w:eastAsia="仿宋_GB2312" w:cs="Times New Roman"/>
          <w:bCs/>
          <w:spacing w:val="6"/>
          <w:sz w:val="32"/>
          <w:szCs w:val="32"/>
        </w:rPr>
        <w:t xml:space="preserve">级及以上医疗机构出具“出院小结”或“疾病诊断证明书”；  </w:t>
      </w:r>
      <w:r>
        <w:rPr>
          <w:rFonts w:hint="default" w:ascii="Times New Roman" w:hAnsi="Times New Roman" w:eastAsia="仿宋_GB2312" w:cs="Times New Roman"/>
          <w:bCs/>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（2）提供二级及以上医疗机构住院病历或半年以上的3次门诊病历，有明确诊断，相应治疗；</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（3）影像学表现：髌骨、股骨髁、胫骨平台关节缘呈唇样骨质增生，胫骨髁间隆突变尖，非对称性关节间隙变窄，软骨下骨硬化和囊性变，软骨下骨质致密为必须条件。</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37.儿童脑瘫</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（2）年龄≤14岁，需长期门诊康复治疗的。</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38.系统性硬皮病</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（1）三甲医疗机构出具的“出院小结”或“疾病诊断证明书”；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（2）X光检查：肺纤维化、食道运动功能障碍等内脏改变；</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（3）肺动脉高压或肾脏病变；</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（4）免疫学检测：抗Scl-70（+），抗着丝点抗体（+）或抗核抗体（+）。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39.慢性骨髓炎</w:t>
      </w:r>
      <w:r>
        <w:rPr>
          <w:rFonts w:hint="default" w:ascii="Times New Roman" w:hAnsi="Times New Roman" w:eastAsia="黑体" w:cs="Times New Roman"/>
          <w:bCs/>
          <w:sz w:val="32"/>
          <w:szCs w:val="32"/>
        </w:rPr>
        <w:tab/>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（2）提供急性骨髓炎或开放性骨折病史记录；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（3）X线及其他影像学检测阳性报告；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（4）病变部位病历及实验室检查阳性报告。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40.艾滋病</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（2）HIV检测阳性报告单。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41.变应性亚败血症（成人still病）</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（1）三级甲等医疗机构风湿科出具的“出院小结”和“疾病诊断证明书”（两者必不可少）。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42.原发性慢性肾上腺皮质功能减退症</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（2）血、尿皮质醇水平测定低于正常值的检查报告；</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（3）其他辅助检查报告：血浆促肾上腺皮质激素升高及其相关肽N-POMC的测定异常、促肾上腺皮质激素兴奋试验异常、腹平片及肾上腺CT扫描示肾上腺区异常、血中抗肾上腺抗体阳性等；</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（4）近二年内因艾迪生病的3次门诊或1次住院治疗记录。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认定标准：（1）+（2）+（3）（4）中任意一项。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43.皮质醇增多症</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（1）二级及以上医疗机构出具的“出院小结”或“疾病诊断证明书”；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（2）实验室检测库欣综合征阳性报告（血清皮质醇测定、24hUFC、DST等）；</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（3）近</w:t>
      </w:r>
      <w:r>
        <w:rPr>
          <w:rFonts w:hint="default" w:ascii="Times New Roman" w:hAnsi="Times New Roman" w:eastAsia="仿宋_GB2312" w:cs="Times New Roman"/>
          <w:bCs/>
          <w:spacing w:val="-6"/>
          <w:sz w:val="32"/>
          <w:szCs w:val="32"/>
        </w:rPr>
        <w:t>二年内因库欣综合征的3次门诊或1次住院治疗记录。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认定标准：（1）+（2）+（3）。</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44.血吸虫病</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（1）二级及以上医疗机构出具的“出院小结”或“疾病诊断证明书”。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认定标准：（1）。</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sz w:val="32"/>
          <w:szCs w:val="32"/>
        </w:rPr>
      </w:pPr>
    </w:p>
    <w:p>
      <w:pPr>
        <w:pStyle w:val="2"/>
        <w:rPr>
          <w:rFonts w:hint="default" w:ascii="Times New Roman" w:hAnsi="Times New Roman" w:eastAsia="仿宋_GB2312" w:cs="Times New Roman"/>
          <w:bCs/>
          <w:color w:val="000000"/>
          <w:sz w:val="32"/>
          <w:szCs w:val="32"/>
        </w:rPr>
      </w:pPr>
    </w:p>
    <w:p>
      <w:pPr>
        <w:pStyle w:val="2"/>
        <w:rPr>
          <w:rFonts w:hint="default" w:ascii="Times New Roman" w:hAnsi="Times New Roman" w:eastAsia="仿宋_GB2312" w:cs="Times New Roman"/>
          <w:bCs/>
          <w:color w:val="000000"/>
          <w:sz w:val="32"/>
          <w:szCs w:val="32"/>
        </w:rPr>
      </w:pPr>
    </w:p>
    <w:p>
      <w:pPr>
        <w:widowControl w:val="0"/>
        <w:jc w:val="both"/>
        <w:rPr>
          <w:rFonts w:hint="default" w:ascii="Calibri" w:hAnsi="Calibri"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default" w:ascii="Calibri" w:hAnsi="Calibri" w:eastAsia="宋体"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339090</wp:posOffset>
                </wp:positionV>
                <wp:extent cx="5615940" cy="0"/>
                <wp:effectExtent l="0" t="4445" r="0" b="5080"/>
                <wp:wrapNone/>
                <wp:docPr id="15" name="直接箭头连接符 15"/>
                <wp:cNvGraphicFramePr/>
                <a:graphic xmlns:a="http://schemas.openxmlformats.org/drawingml/2006/main">
                  <a:graphicData uri="http://schemas.microsoft.com/office/word/2010/wordprocessingShape">
                    <wps:wsp>
                      <wps:cNvCnPr/>
                      <wps:spPr>
                        <a:xfrm>
                          <a:off x="0" y="0"/>
                          <a:ext cx="54673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7pt;margin-top:26.7pt;height:0pt;width:442.2pt;z-index:251662336;mso-width-relative:page;mso-height-relative:page;" filled="f" stroked="t" coordsize="21600,21600" o:gfxdata="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oIXD1QAAAAcBAAAPAAAAAAAAAAEAIAAAACIAAABkcnMvZG93&#10;bnJldi54bWxQSwECFAAUAAAACACHTuJAogxvWgMCAAD8AwAADgAAAAAAAAABACAAAAAkAQAAZHJz&#10;L2Uyb0RvYy54bWxQSwUGAAAAAAYABgBZAQAAmQU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28575</wp:posOffset>
                </wp:positionV>
                <wp:extent cx="5615940" cy="0"/>
                <wp:effectExtent l="0" t="4445" r="0" b="5080"/>
                <wp:wrapNone/>
                <wp:docPr id="16" name="直接箭头连接符 16"/>
                <wp:cNvGraphicFramePr/>
                <a:graphic xmlns:a="http://schemas.openxmlformats.org/drawingml/2006/main">
                  <a:graphicData uri="http://schemas.microsoft.com/office/word/2010/wordprocessingShape">
                    <wps:wsp>
                      <wps:cNvCnPr/>
                      <wps:spPr>
                        <a:xfrm>
                          <a:off x="0" y="0"/>
                          <a:ext cx="54673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7pt;margin-top:2.25pt;height:0pt;width:442.2pt;z-index:251663360;mso-width-relative:page;mso-height-relative:page;" filled="f" stroked="t" coordsize="21600,21600" o:gfxdata="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z4zBNMAAAAFAQAADwAAAAAAAAABACAAAAAiAAAAZHJzL2Rvd25y&#10;ZXYueG1sUEsBAhQAFAAAAAgAh07iQEXpEdQDAgAA/AMAAA4AAAAAAAAAAQAgAAAAIg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sz w:val="28"/>
          <w:szCs w:val="28"/>
        </w:rPr>
        <w:t xml:space="preserve">九江市医疗保障局办公室       </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12</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21</w:t>
      </w:r>
      <w:r>
        <w:rPr>
          <w:rFonts w:hint="default" w:ascii="Times New Roman" w:hAnsi="Times New Roman" w:eastAsia="仿宋_GB2312" w:cs="Times New Roman"/>
          <w:color w:val="000000"/>
          <w:sz w:val="28"/>
          <w:szCs w:val="28"/>
        </w:rPr>
        <w:t>日印发</w:t>
      </w:r>
      <w:r>
        <w:rPr>
          <w:rFonts w:hint="eastAsia" w:ascii="仿宋_GB2312" w:hAnsi="Calibri"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972185</wp:posOffset>
                </wp:positionH>
                <wp:positionV relativeFrom="paragraph">
                  <wp:posOffset>8729980</wp:posOffset>
                </wp:positionV>
                <wp:extent cx="5600700" cy="0"/>
                <wp:effectExtent l="0" t="4445" r="0" b="5080"/>
                <wp:wrapNone/>
                <wp:docPr id="17" name="直接连接符 17"/>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5pt;margin-top:687.4pt;height:0pt;width:441pt;z-index:251661312;mso-width-relative:page;mso-height-relative:page;" filled="f" stroked="t" coordsize="21600,21600" o:gfxdata="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H5eZ9QAAAAOAQAADwAAAAAAAAABACAAAAAiAAAAZHJzL2Rvd25yZXYueG1sUEsB&#10;AhQAFAAAAAgAh07iQEct0G/5AQAA9AMAAA4AAAAAAAAAAQAgAAAAIwEAAGRycy9lMm9Eb2MueG1s&#10;UEsFBgAAAAAGAAYAWQEAAI4FAAAAAA==&#10;">
                <v:fill on="f" focussize="0,0"/>
                <v:stroke weight="0.5pt" color="#000000" joinstyle="round"/>
                <v:imagedata o:title=""/>
                <o:lock v:ext="edit" aspectratio="f"/>
              </v:line>
            </w:pict>
          </mc:Fallback>
        </mc:AlternateContent>
      </w:r>
    </w:p>
    <w:sectPr>
      <w:pgSz w:w="11906" w:h="16838"/>
      <w:pgMar w:top="2098" w:right="1474" w:bottom="1984"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青云简">
    <w:panose1 w:val="00020600040101010101"/>
    <w:charset w:val="86"/>
    <w:family w:val="auto"/>
    <w:pitch w:val="default"/>
    <w:sig w:usb0="8000001F" w:usb1="1A0F781A" w:usb2="00000016" w:usb3="00000000" w:csb0="0004009F" w:csb1="DFD70000"/>
  </w:font>
  <w:font w:name="楷体_GB2312">
    <w:panose1 w:val="02010609030101010101"/>
    <w:charset w:val="86"/>
    <w:family w:val="auto"/>
    <w:pitch w:val="default"/>
    <w:sig w:usb0="00000001" w:usb1="080E0000" w:usb2="00000000" w:usb3="00000000" w:csb0="00040000" w:csb1="00000000"/>
  </w:font>
  <w:font w:name="汉仪秀英体简">
    <w:panose1 w:val="02010600000101010101"/>
    <w:charset w:val="86"/>
    <w:family w:val="auto"/>
    <w:pitch w:val="default"/>
    <w:sig w:usb0="00000001" w:usb1="080E0800" w:usb2="00000002" w:usb3="00000000" w:csb0="00040000" w:csb1="00000000"/>
  </w:font>
  <w:font w:name="汉仪旗黑X1-95简">
    <w:panose1 w:val="00020600040101010101"/>
    <w:charset w:val="86"/>
    <w:family w:val="auto"/>
    <w:pitch w:val="default"/>
    <w:sig w:usb0="A00002BF" w:usb1="1A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Yjg2ZjMxYzRiMGRlODE4NDQwNWE2MDEwYjY5YmYifQ=="/>
  </w:docVars>
  <w:rsids>
    <w:rsidRoot w:val="002A73DC"/>
    <w:rsid w:val="00001E5F"/>
    <w:rsid w:val="0000479B"/>
    <w:rsid w:val="00006031"/>
    <w:rsid w:val="00010F3B"/>
    <w:rsid w:val="00016E08"/>
    <w:rsid w:val="00020DC5"/>
    <w:rsid w:val="0003345C"/>
    <w:rsid w:val="0006418B"/>
    <w:rsid w:val="0007531A"/>
    <w:rsid w:val="00076F44"/>
    <w:rsid w:val="00083E9A"/>
    <w:rsid w:val="0008418F"/>
    <w:rsid w:val="00091EEC"/>
    <w:rsid w:val="000A1C36"/>
    <w:rsid w:val="000A350A"/>
    <w:rsid w:val="000B11B0"/>
    <w:rsid w:val="000B2619"/>
    <w:rsid w:val="000B325A"/>
    <w:rsid w:val="000B3C01"/>
    <w:rsid w:val="000C0CF7"/>
    <w:rsid w:val="000C5AA6"/>
    <w:rsid w:val="000C6C24"/>
    <w:rsid w:val="000D2803"/>
    <w:rsid w:val="000D473D"/>
    <w:rsid w:val="000E1748"/>
    <w:rsid w:val="000E6489"/>
    <w:rsid w:val="000E6745"/>
    <w:rsid w:val="000F3507"/>
    <w:rsid w:val="000F3DA8"/>
    <w:rsid w:val="000F73A6"/>
    <w:rsid w:val="00104F2B"/>
    <w:rsid w:val="00115F70"/>
    <w:rsid w:val="0013163D"/>
    <w:rsid w:val="00144427"/>
    <w:rsid w:val="00144A8F"/>
    <w:rsid w:val="00145EDC"/>
    <w:rsid w:val="001525F9"/>
    <w:rsid w:val="00153337"/>
    <w:rsid w:val="00176796"/>
    <w:rsid w:val="0019718C"/>
    <w:rsid w:val="001A62F6"/>
    <w:rsid w:val="001B0A05"/>
    <w:rsid w:val="001B0E4E"/>
    <w:rsid w:val="001B470D"/>
    <w:rsid w:val="001C096E"/>
    <w:rsid w:val="001C3D77"/>
    <w:rsid w:val="001D42B0"/>
    <w:rsid w:val="001D4A4D"/>
    <w:rsid w:val="001D73B2"/>
    <w:rsid w:val="001E06BE"/>
    <w:rsid w:val="001E40BB"/>
    <w:rsid w:val="001F0299"/>
    <w:rsid w:val="001F135C"/>
    <w:rsid w:val="001F4CA0"/>
    <w:rsid w:val="001F52BA"/>
    <w:rsid w:val="002069F3"/>
    <w:rsid w:val="0021127E"/>
    <w:rsid w:val="0022066A"/>
    <w:rsid w:val="00227F52"/>
    <w:rsid w:val="0023022A"/>
    <w:rsid w:val="00230299"/>
    <w:rsid w:val="0023549A"/>
    <w:rsid w:val="00241A7F"/>
    <w:rsid w:val="002622F8"/>
    <w:rsid w:val="00271500"/>
    <w:rsid w:val="002817E1"/>
    <w:rsid w:val="002847ED"/>
    <w:rsid w:val="002930A1"/>
    <w:rsid w:val="00293F07"/>
    <w:rsid w:val="002946BE"/>
    <w:rsid w:val="002A73DC"/>
    <w:rsid w:val="002B48B5"/>
    <w:rsid w:val="002C47C3"/>
    <w:rsid w:val="002C4BD4"/>
    <w:rsid w:val="002C54F3"/>
    <w:rsid w:val="002C5BE4"/>
    <w:rsid w:val="002D1138"/>
    <w:rsid w:val="002D23A6"/>
    <w:rsid w:val="002D6D45"/>
    <w:rsid w:val="002E09B0"/>
    <w:rsid w:val="003006E7"/>
    <w:rsid w:val="00316C44"/>
    <w:rsid w:val="0032766E"/>
    <w:rsid w:val="0034024C"/>
    <w:rsid w:val="00345780"/>
    <w:rsid w:val="0036085E"/>
    <w:rsid w:val="00364627"/>
    <w:rsid w:val="0038093A"/>
    <w:rsid w:val="00397C3B"/>
    <w:rsid w:val="003A34C2"/>
    <w:rsid w:val="003A7B23"/>
    <w:rsid w:val="003C1978"/>
    <w:rsid w:val="003C5905"/>
    <w:rsid w:val="003C7283"/>
    <w:rsid w:val="003D2EDE"/>
    <w:rsid w:val="003D6078"/>
    <w:rsid w:val="003E137A"/>
    <w:rsid w:val="003E17D7"/>
    <w:rsid w:val="003E184C"/>
    <w:rsid w:val="003E271B"/>
    <w:rsid w:val="003F2AF1"/>
    <w:rsid w:val="003F55A0"/>
    <w:rsid w:val="00400AF3"/>
    <w:rsid w:val="004037AF"/>
    <w:rsid w:val="00410774"/>
    <w:rsid w:val="0042136E"/>
    <w:rsid w:val="004246D2"/>
    <w:rsid w:val="00425C9B"/>
    <w:rsid w:val="0043053E"/>
    <w:rsid w:val="004473DD"/>
    <w:rsid w:val="0045236E"/>
    <w:rsid w:val="0046080B"/>
    <w:rsid w:val="00464468"/>
    <w:rsid w:val="0048255B"/>
    <w:rsid w:val="00485FC3"/>
    <w:rsid w:val="00487D7B"/>
    <w:rsid w:val="00492979"/>
    <w:rsid w:val="0049298B"/>
    <w:rsid w:val="004978BC"/>
    <w:rsid w:val="004A167E"/>
    <w:rsid w:val="004D6E24"/>
    <w:rsid w:val="004E0D3A"/>
    <w:rsid w:val="004E6CE9"/>
    <w:rsid w:val="00500C31"/>
    <w:rsid w:val="005065A7"/>
    <w:rsid w:val="005067D3"/>
    <w:rsid w:val="005234D2"/>
    <w:rsid w:val="00525BC0"/>
    <w:rsid w:val="00533475"/>
    <w:rsid w:val="0054222C"/>
    <w:rsid w:val="00543079"/>
    <w:rsid w:val="00555FD3"/>
    <w:rsid w:val="005704A5"/>
    <w:rsid w:val="00572766"/>
    <w:rsid w:val="00574848"/>
    <w:rsid w:val="00586824"/>
    <w:rsid w:val="005A76FE"/>
    <w:rsid w:val="005C5BEA"/>
    <w:rsid w:val="005C60E6"/>
    <w:rsid w:val="005C7AA2"/>
    <w:rsid w:val="005D10B5"/>
    <w:rsid w:val="005E0390"/>
    <w:rsid w:val="005E0B2B"/>
    <w:rsid w:val="005F526B"/>
    <w:rsid w:val="005F6926"/>
    <w:rsid w:val="00606EF4"/>
    <w:rsid w:val="00644011"/>
    <w:rsid w:val="006675F8"/>
    <w:rsid w:val="006717F9"/>
    <w:rsid w:val="00672168"/>
    <w:rsid w:val="00681FBB"/>
    <w:rsid w:val="00691CD6"/>
    <w:rsid w:val="00697B05"/>
    <w:rsid w:val="006B0CD6"/>
    <w:rsid w:val="006B2CE8"/>
    <w:rsid w:val="006B55DF"/>
    <w:rsid w:val="006B7B45"/>
    <w:rsid w:val="006C4E06"/>
    <w:rsid w:val="006D509A"/>
    <w:rsid w:val="006E14B0"/>
    <w:rsid w:val="006F0405"/>
    <w:rsid w:val="00710BA3"/>
    <w:rsid w:val="00711881"/>
    <w:rsid w:val="0071353C"/>
    <w:rsid w:val="00717A88"/>
    <w:rsid w:val="00720C0B"/>
    <w:rsid w:val="00732ACD"/>
    <w:rsid w:val="007413FC"/>
    <w:rsid w:val="0075253E"/>
    <w:rsid w:val="007574BD"/>
    <w:rsid w:val="00761916"/>
    <w:rsid w:val="007848D5"/>
    <w:rsid w:val="00784ACB"/>
    <w:rsid w:val="00785532"/>
    <w:rsid w:val="00793524"/>
    <w:rsid w:val="00797839"/>
    <w:rsid w:val="007B0F2C"/>
    <w:rsid w:val="007B73FE"/>
    <w:rsid w:val="007E34F9"/>
    <w:rsid w:val="007E44A5"/>
    <w:rsid w:val="007E7E7D"/>
    <w:rsid w:val="007F02F7"/>
    <w:rsid w:val="008043C6"/>
    <w:rsid w:val="0080476C"/>
    <w:rsid w:val="008269A7"/>
    <w:rsid w:val="00840F36"/>
    <w:rsid w:val="008604A7"/>
    <w:rsid w:val="00867564"/>
    <w:rsid w:val="0087087F"/>
    <w:rsid w:val="00873F5F"/>
    <w:rsid w:val="00881BEB"/>
    <w:rsid w:val="00893AF0"/>
    <w:rsid w:val="008B73DB"/>
    <w:rsid w:val="008C760D"/>
    <w:rsid w:val="008D46D8"/>
    <w:rsid w:val="008D6317"/>
    <w:rsid w:val="008E7598"/>
    <w:rsid w:val="008F1E07"/>
    <w:rsid w:val="00900F4A"/>
    <w:rsid w:val="0092018F"/>
    <w:rsid w:val="009216E3"/>
    <w:rsid w:val="009230F0"/>
    <w:rsid w:val="00934448"/>
    <w:rsid w:val="009426FE"/>
    <w:rsid w:val="009572F4"/>
    <w:rsid w:val="00972DE8"/>
    <w:rsid w:val="00975DBB"/>
    <w:rsid w:val="00984FC8"/>
    <w:rsid w:val="009B701E"/>
    <w:rsid w:val="009C3DB3"/>
    <w:rsid w:val="009F2684"/>
    <w:rsid w:val="00A12A4E"/>
    <w:rsid w:val="00A2430B"/>
    <w:rsid w:val="00A254E3"/>
    <w:rsid w:val="00A3092F"/>
    <w:rsid w:val="00A45C2D"/>
    <w:rsid w:val="00A46A8A"/>
    <w:rsid w:val="00A47CCA"/>
    <w:rsid w:val="00A47D66"/>
    <w:rsid w:val="00A55B1F"/>
    <w:rsid w:val="00A56074"/>
    <w:rsid w:val="00A562C8"/>
    <w:rsid w:val="00A62B4F"/>
    <w:rsid w:val="00A6331C"/>
    <w:rsid w:val="00A71AE3"/>
    <w:rsid w:val="00A720E8"/>
    <w:rsid w:val="00A805F8"/>
    <w:rsid w:val="00A9034B"/>
    <w:rsid w:val="00A965F9"/>
    <w:rsid w:val="00AB0DB3"/>
    <w:rsid w:val="00AB41AA"/>
    <w:rsid w:val="00AC08CF"/>
    <w:rsid w:val="00AC6E73"/>
    <w:rsid w:val="00AC7F28"/>
    <w:rsid w:val="00AD0202"/>
    <w:rsid w:val="00AD05B8"/>
    <w:rsid w:val="00AD34C0"/>
    <w:rsid w:val="00AE46CE"/>
    <w:rsid w:val="00AF2F47"/>
    <w:rsid w:val="00B03096"/>
    <w:rsid w:val="00B055A5"/>
    <w:rsid w:val="00B142B1"/>
    <w:rsid w:val="00B3092F"/>
    <w:rsid w:val="00B36043"/>
    <w:rsid w:val="00B363DF"/>
    <w:rsid w:val="00B42226"/>
    <w:rsid w:val="00B52EA3"/>
    <w:rsid w:val="00B57660"/>
    <w:rsid w:val="00B75B9E"/>
    <w:rsid w:val="00B86521"/>
    <w:rsid w:val="00B9058F"/>
    <w:rsid w:val="00B9284A"/>
    <w:rsid w:val="00BA5293"/>
    <w:rsid w:val="00BA5840"/>
    <w:rsid w:val="00BC1DFD"/>
    <w:rsid w:val="00BD36B6"/>
    <w:rsid w:val="00C127BD"/>
    <w:rsid w:val="00C2283C"/>
    <w:rsid w:val="00C4414A"/>
    <w:rsid w:val="00C550C1"/>
    <w:rsid w:val="00C576B6"/>
    <w:rsid w:val="00C61410"/>
    <w:rsid w:val="00C70F53"/>
    <w:rsid w:val="00CA20C0"/>
    <w:rsid w:val="00CB2210"/>
    <w:rsid w:val="00CB60D6"/>
    <w:rsid w:val="00CC3CA1"/>
    <w:rsid w:val="00CC6A23"/>
    <w:rsid w:val="00CC6AF3"/>
    <w:rsid w:val="00CD3811"/>
    <w:rsid w:val="00CD7DFD"/>
    <w:rsid w:val="00CE500A"/>
    <w:rsid w:val="00CF0C56"/>
    <w:rsid w:val="00D0047F"/>
    <w:rsid w:val="00D125F4"/>
    <w:rsid w:val="00D24709"/>
    <w:rsid w:val="00D33BC9"/>
    <w:rsid w:val="00D37C5E"/>
    <w:rsid w:val="00D37E04"/>
    <w:rsid w:val="00D43DB0"/>
    <w:rsid w:val="00D52317"/>
    <w:rsid w:val="00D5766B"/>
    <w:rsid w:val="00D57EC2"/>
    <w:rsid w:val="00D628BF"/>
    <w:rsid w:val="00D70960"/>
    <w:rsid w:val="00D80395"/>
    <w:rsid w:val="00D95A4B"/>
    <w:rsid w:val="00DA0B45"/>
    <w:rsid w:val="00DA7683"/>
    <w:rsid w:val="00DB00ED"/>
    <w:rsid w:val="00DB54D7"/>
    <w:rsid w:val="00DB5959"/>
    <w:rsid w:val="00DC47C7"/>
    <w:rsid w:val="00DD733C"/>
    <w:rsid w:val="00DE3EA3"/>
    <w:rsid w:val="00DF08E7"/>
    <w:rsid w:val="00DF56B5"/>
    <w:rsid w:val="00DF58CA"/>
    <w:rsid w:val="00E00331"/>
    <w:rsid w:val="00E07752"/>
    <w:rsid w:val="00E13873"/>
    <w:rsid w:val="00E24CD1"/>
    <w:rsid w:val="00E25FC7"/>
    <w:rsid w:val="00E26D77"/>
    <w:rsid w:val="00E3347D"/>
    <w:rsid w:val="00E538D9"/>
    <w:rsid w:val="00E661A1"/>
    <w:rsid w:val="00E75B1F"/>
    <w:rsid w:val="00E8717B"/>
    <w:rsid w:val="00E907AB"/>
    <w:rsid w:val="00E95323"/>
    <w:rsid w:val="00E955F8"/>
    <w:rsid w:val="00E96078"/>
    <w:rsid w:val="00E96F73"/>
    <w:rsid w:val="00EA76F2"/>
    <w:rsid w:val="00EA77A7"/>
    <w:rsid w:val="00EA77AD"/>
    <w:rsid w:val="00EB3F64"/>
    <w:rsid w:val="00EC2B05"/>
    <w:rsid w:val="00ED3968"/>
    <w:rsid w:val="00EE52EC"/>
    <w:rsid w:val="00EF6CCD"/>
    <w:rsid w:val="00F144CA"/>
    <w:rsid w:val="00F14AAB"/>
    <w:rsid w:val="00F16CE3"/>
    <w:rsid w:val="00F26DC1"/>
    <w:rsid w:val="00F43795"/>
    <w:rsid w:val="00F619BD"/>
    <w:rsid w:val="00F7506C"/>
    <w:rsid w:val="00F821F6"/>
    <w:rsid w:val="00F8626E"/>
    <w:rsid w:val="00F86317"/>
    <w:rsid w:val="00F90975"/>
    <w:rsid w:val="00F96AE2"/>
    <w:rsid w:val="00FA11E5"/>
    <w:rsid w:val="00FA74E5"/>
    <w:rsid w:val="00FC3CF0"/>
    <w:rsid w:val="00FD11B7"/>
    <w:rsid w:val="00FD43F0"/>
    <w:rsid w:val="00FD4491"/>
    <w:rsid w:val="00FD5372"/>
    <w:rsid w:val="00FF077D"/>
    <w:rsid w:val="00FF0ED9"/>
    <w:rsid w:val="58CE3C30"/>
    <w:rsid w:val="5A43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22"/>
    <w:semiHidden/>
    <w:unhideWhenUsed/>
    <w:uiPriority w:val="99"/>
    <w:pPr>
      <w:spacing w:line="360" w:lineRule="auto"/>
    </w:pPr>
    <w:rPr>
      <w:rFonts w:ascii="宋体" w:hAnsi="宋体" w:eastAsia="宋体" w:cs="Times New Roman"/>
      <w:sz w:val="24"/>
    </w:rPr>
  </w:style>
  <w:style w:type="paragraph" w:styleId="4">
    <w:name w:val="Body Text"/>
    <w:basedOn w:val="1"/>
    <w:next w:val="1"/>
    <w:qFormat/>
    <w:uiPriority w:val="0"/>
    <w:pPr>
      <w:widowControl/>
      <w:spacing w:after="120"/>
      <w:jc w:val="left"/>
    </w:pPr>
    <w:rPr>
      <w:sz w:val="32"/>
      <w:szCs w:val="24"/>
    </w:rPr>
  </w:style>
  <w:style w:type="paragraph" w:styleId="5">
    <w:name w:val="Body Text Indent"/>
    <w:basedOn w:val="1"/>
    <w:link w:val="43"/>
    <w:semiHidden/>
    <w:unhideWhenUsed/>
    <w:qFormat/>
    <w:uiPriority w:val="99"/>
    <w:pPr>
      <w:spacing w:after="120"/>
      <w:ind w:left="420" w:leftChars="200"/>
    </w:pPr>
  </w:style>
  <w:style w:type="paragraph" w:styleId="6">
    <w:name w:val="Date"/>
    <w:basedOn w:val="1"/>
    <w:next w:val="1"/>
    <w:link w:val="21"/>
    <w:semiHidden/>
    <w:unhideWhenUsed/>
    <w:uiPriority w:val="99"/>
    <w:pPr>
      <w:ind w:left="100" w:leftChars="2500"/>
    </w:pPr>
  </w:style>
  <w:style w:type="paragraph" w:styleId="7">
    <w:name w:val="Balloon Text"/>
    <w:basedOn w:val="1"/>
    <w:link w:val="23"/>
    <w:semiHidden/>
    <w:unhideWhenUsed/>
    <w:qFormat/>
    <w:uiPriority w:val="99"/>
    <w:pPr>
      <w:jc w:val="both"/>
    </w:pPr>
    <w:rPr>
      <w:rFonts w:ascii="宋体" w:hAnsi="宋体" w:eastAsia="宋体" w:cs="Times New Roman"/>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4"/>
    <w:semiHidden/>
    <w:unhideWhenUsed/>
    <w:qFormat/>
    <w:uiPriority w:val="99"/>
    <w:rPr>
      <w:b/>
      <w:bCs/>
    </w:rPr>
  </w:style>
  <w:style w:type="paragraph" w:styleId="11">
    <w:name w:val="Body Text First Indent 2"/>
    <w:basedOn w:val="5"/>
    <w:link w:val="44"/>
    <w:semiHidden/>
    <w:unhideWhenUsed/>
    <w:qFormat/>
    <w:uiPriority w:val="0"/>
    <w:pPr>
      <w:widowControl w:val="0"/>
      <w:ind w:firstLine="420" w:firstLineChars="200"/>
      <w:jc w:val="both"/>
    </w:pPr>
    <w:rPr>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semiHidden/>
    <w:unhideWhenUsed/>
    <w:qFormat/>
    <w:uiPriority w:val="99"/>
    <w:rPr>
      <w:color w:val="7E1FAD"/>
      <w:u w:val="single"/>
    </w:rPr>
  </w:style>
  <w:style w:type="character" w:styleId="16">
    <w:name w:val="Hyperlink"/>
    <w:semiHidden/>
    <w:unhideWhenUsed/>
    <w:qFormat/>
    <w:uiPriority w:val="99"/>
    <w:rPr>
      <w:color w:val="0026E5"/>
      <w:u w:val="single"/>
    </w:rPr>
  </w:style>
  <w:style w:type="character" w:styleId="17">
    <w:name w:val="annotation reference"/>
    <w:semiHidden/>
    <w:unhideWhenUsed/>
    <w:uiPriority w:val="99"/>
    <w:rPr>
      <w:sz w:val="21"/>
      <w:szCs w:val="21"/>
    </w:rPr>
  </w:style>
  <w:style w:type="paragraph" w:styleId="18">
    <w:name w:val="List Paragraph"/>
    <w:basedOn w:val="1"/>
    <w:qFormat/>
    <w:uiPriority w:val="34"/>
    <w:pPr>
      <w:ind w:firstLine="420" w:firstLineChars="200"/>
    </w:p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99"/>
    <w:rPr>
      <w:sz w:val="18"/>
      <w:szCs w:val="18"/>
    </w:rPr>
  </w:style>
  <w:style w:type="character" w:customStyle="1" w:styleId="21">
    <w:name w:val="日期 Char"/>
    <w:basedOn w:val="14"/>
    <w:link w:val="6"/>
    <w:semiHidden/>
    <w:qFormat/>
    <w:uiPriority w:val="99"/>
    <w:rPr>
      <w:kern w:val="2"/>
      <w:sz w:val="21"/>
      <w:szCs w:val="22"/>
    </w:rPr>
  </w:style>
  <w:style w:type="character" w:customStyle="1" w:styleId="22">
    <w:name w:val="批注文字 Char"/>
    <w:basedOn w:val="14"/>
    <w:link w:val="3"/>
    <w:semiHidden/>
    <w:qFormat/>
    <w:uiPriority w:val="99"/>
    <w:rPr>
      <w:rFonts w:ascii="宋体" w:hAnsi="宋体" w:eastAsia="宋体" w:cs="Times New Roman"/>
      <w:kern w:val="2"/>
      <w:sz w:val="24"/>
      <w:szCs w:val="22"/>
    </w:rPr>
  </w:style>
  <w:style w:type="character" w:customStyle="1" w:styleId="23">
    <w:name w:val="批注框文本 Char"/>
    <w:basedOn w:val="14"/>
    <w:link w:val="7"/>
    <w:semiHidden/>
    <w:qFormat/>
    <w:uiPriority w:val="99"/>
    <w:rPr>
      <w:rFonts w:ascii="宋体" w:hAnsi="宋体" w:eastAsia="宋体" w:cs="Times New Roman"/>
      <w:kern w:val="2"/>
      <w:sz w:val="18"/>
      <w:szCs w:val="18"/>
    </w:rPr>
  </w:style>
  <w:style w:type="character" w:customStyle="1" w:styleId="24">
    <w:name w:val="批注主题 Char"/>
    <w:basedOn w:val="22"/>
    <w:link w:val="10"/>
    <w:semiHidden/>
    <w:qFormat/>
    <w:uiPriority w:val="99"/>
    <w:rPr>
      <w:rFonts w:ascii="宋体" w:hAnsi="宋体" w:eastAsia="宋体" w:cs="Times New Roman"/>
      <w:b/>
      <w:bCs/>
      <w:kern w:val="2"/>
      <w:sz w:val="24"/>
      <w:szCs w:val="22"/>
    </w:rPr>
  </w:style>
  <w:style w:type="paragraph" w:customStyle="1" w:styleId="25">
    <w:name w:val="修订1"/>
    <w:hidden/>
    <w:semiHidden/>
    <w:qFormat/>
    <w:uiPriority w:val="99"/>
    <w:rPr>
      <w:rFonts w:ascii="宋体" w:hAnsi="宋体" w:eastAsia="宋体" w:cs="Times New Roman"/>
      <w:kern w:val="2"/>
      <w:sz w:val="24"/>
      <w:szCs w:val="22"/>
      <w:lang w:val="en-US" w:eastAsia="zh-CN" w:bidi="ar-SA"/>
    </w:rPr>
  </w:style>
  <w:style w:type="paragraph" w:customStyle="1" w:styleId="26">
    <w:name w:val="font5"/>
    <w:basedOn w:val="1"/>
    <w:uiPriority w:val="0"/>
    <w:pPr>
      <w:spacing w:before="100" w:beforeAutospacing="1" w:after="100" w:afterAutospacing="1"/>
    </w:pPr>
    <w:rPr>
      <w:rFonts w:ascii="楷体" w:hAnsi="楷体" w:eastAsia="楷体" w:cs="宋体"/>
      <w:kern w:val="0"/>
      <w:sz w:val="22"/>
    </w:rPr>
  </w:style>
  <w:style w:type="paragraph" w:customStyle="1" w:styleId="27">
    <w:name w:val="font6"/>
    <w:basedOn w:val="1"/>
    <w:qFormat/>
    <w:uiPriority w:val="0"/>
    <w:pPr>
      <w:spacing w:before="100" w:beforeAutospacing="1" w:after="100" w:afterAutospacing="1"/>
    </w:pPr>
    <w:rPr>
      <w:rFonts w:ascii="宋体" w:hAnsi="宋体" w:eastAsia="宋体" w:cs="宋体"/>
      <w:kern w:val="0"/>
      <w:sz w:val="18"/>
      <w:szCs w:val="18"/>
    </w:rPr>
  </w:style>
  <w:style w:type="paragraph" w:customStyle="1" w:styleId="28">
    <w:name w:val="font7"/>
    <w:basedOn w:val="1"/>
    <w:qFormat/>
    <w:uiPriority w:val="0"/>
    <w:pPr>
      <w:spacing w:before="100" w:beforeAutospacing="1" w:after="100" w:afterAutospacing="1"/>
    </w:pPr>
    <w:rPr>
      <w:rFonts w:ascii="黑体" w:hAnsi="黑体" w:eastAsia="黑体" w:cs="宋体"/>
      <w:kern w:val="0"/>
      <w:sz w:val="22"/>
    </w:rPr>
  </w:style>
  <w:style w:type="paragraph" w:customStyle="1" w:styleId="29">
    <w:name w:val="font8"/>
    <w:basedOn w:val="1"/>
    <w:qFormat/>
    <w:uiPriority w:val="0"/>
    <w:pPr>
      <w:spacing w:before="100" w:beforeAutospacing="1" w:after="100" w:afterAutospacing="1"/>
    </w:pPr>
    <w:rPr>
      <w:rFonts w:ascii="宋体" w:hAnsi="宋体" w:eastAsia="宋体" w:cs="宋体"/>
      <w:kern w:val="0"/>
      <w:sz w:val="18"/>
      <w:szCs w:val="18"/>
    </w:rPr>
  </w:style>
  <w:style w:type="paragraph" w:customStyle="1" w:styleId="30">
    <w:name w:val="xl65"/>
    <w:basedOn w:val="1"/>
    <w:qFormat/>
    <w:uiPriority w:val="0"/>
    <w:pPr>
      <w:spacing w:before="100" w:beforeAutospacing="1" w:after="100" w:afterAutospacing="1"/>
      <w:jc w:val="center"/>
    </w:pPr>
    <w:rPr>
      <w:rFonts w:ascii="宋体" w:hAnsi="宋体" w:eastAsia="宋体" w:cs="宋体"/>
      <w:kern w:val="0"/>
      <w:sz w:val="24"/>
      <w:szCs w:val="24"/>
    </w:rPr>
  </w:style>
  <w:style w:type="paragraph" w:customStyle="1" w:styleId="3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b/>
      <w:bCs/>
      <w:kern w:val="0"/>
      <w:sz w:val="24"/>
      <w:szCs w:val="24"/>
    </w:rPr>
  </w:style>
  <w:style w:type="paragraph" w:customStyle="1" w:styleId="32">
    <w:name w:val="xl67"/>
    <w:basedOn w:val="1"/>
    <w:uiPriority w:val="0"/>
    <w:pPr>
      <w:spacing w:before="100" w:beforeAutospacing="1" w:after="100" w:afterAutospacing="1"/>
    </w:pPr>
    <w:rPr>
      <w:rFonts w:ascii="宋体" w:hAnsi="宋体" w:eastAsia="宋体" w:cs="宋体"/>
      <w:kern w:val="0"/>
      <w:sz w:val="24"/>
      <w:szCs w:val="24"/>
    </w:rPr>
  </w:style>
  <w:style w:type="paragraph" w:customStyle="1" w:styleId="33">
    <w:name w:val="xl68"/>
    <w:basedOn w:val="1"/>
    <w:qFormat/>
    <w:uiPriority w:val="0"/>
    <w:pPr>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楷体" w:hAnsi="楷体" w:eastAsia="楷体" w:cs="宋体"/>
      <w:kern w:val="0"/>
      <w:sz w:val="24"/>
      <w:szCs w:val="24"/>
    </w:rPr>
  </w:style>
  <w:style w:type="paragraph" w:customStyle="1" w:styleId="34">
    <w:name w:val="xl69"/>
    <w:basedOn w:val="1"/>
    <w:uiPriority w:val="0"/>
    <w:pPr>
      <w:pBdr>
        <w:top w:val="single" w:color="auto" w:sz="4" w:space="0"/>
        <w:left w:val="single" w:color="auto" w:sz="4" w:space="0"/>
        <w:bottom w:val="single" w:color="auto" w:sz="4" w:space="0"/>
        <w:right w:val="single" w:color="auto" w:sz="4" w:space="0"/>
      </w:pBdr>
      <w:shd w:val="clear" w:color="000000" w:fill="FADADE"/>
      <w:spacing w:before="100" w:beforeAutospacing="1" w:after="100" w:afterAutospacing="1"/>
      <w:jc w:val="center"/>
    </w:pPr>
    <w:rPr>
      <w:rFonts w:ascii="楷体" w:hAnsi="楷体" w:eastAsia="楷体" w:cs="宋体"/>
      <w:kern w:val="0"/>
      <w:sz w:val="24"/>
      <w:szCs w:val="24"/>
    </w:rPr>
  </w:style>
  <w:style w:type="paragraph" w:customStyle="1" w:styleId="35">
    <w:name w:val="xl70"/>
    <w:basedOn w:val="1"/>
    <w:qFormat/>
    <w:uiPriority w:val="0"/>
    <w:pPr>
      <w:pBdr>
        <w:top w:val="single" w:color="000000" w:sz="4" w:space="0"/>
        <w:left w:val="single" w:color="000000" w:sz="4" w:space="0"/>
        <w:bottom w:val="single" w:color="000000" w:sz="4" w:space="0"/>
        <w:right w:val="single" w:color="000000" w:sz="4" w:space="0"/>
      </w:pBdr>
      <w:shd w:val="clear" w:color="000000" w:fill="FADADE"/>
      <w:spacing w:before="100" w:beforeAutospacing="1" w:after="100" w:afterAutospacing="1"/>
      <w:jc w:val="center"/>
    </w:pPr>
    <w:rPr>
      <w:rFonts w:ascii="楷体" w:hAnsi="楷体" w:eastAsia="楷体" w:cs="宋体"/>
      <w:kern w:val="0"/>
      <w:sz w:val="24"/>
      <w:szCs w:val="24"/>
    </w:rPr>
  </w:style>
  <w:style w:type="paragraph" w:customStyle="1" w:styleId="36">
    <w:name w:val="xl71"/>
    <w:basedOn w:val="1"/>
    <w:uiPriority w:val="0"/>
    <w:pPr>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jc w:val="center"/>
    </w:pPr>
    <w:rPr>
      <w:rFonts w:ascii="楷体" w:hAnsi="楷体" w:eastAsia="楷体" w:cs="宋体"/>
      <w:kern w:val="0"/>
      <w:sz w:val="24"/>
      <w:szCs w:val="24"/>
    </w:rPr>
  </w:style>
  <w:style w:type="paragraph" w:customStyle="1" w:styleId="37">
    <w:name w:val="xl72"/>
    <w:basedOn w:val="1"/>
    <w:uiPriority w:val="0"/>
    <w:pPr>
      <w:pBdr>
        <w:top w:val="single" w:color="000000" w:sz="4" w:space="0"/>
        <w:left w:val="single" w:color="000000" w:sz="4" w:space="0"/>
        <w:bottom w:val="single" w:color="000000" w:sz="4" w:space="0"/>
        <w:right w:val="single" w:color="000000" w:sz="4" w:space="0"/>
      </w:pBdr>
      <w:shd w:val="clear" w:color="000000" w:fill="D0CECE"/>
      <w:spacing w:before="100" w:beforeAutospacing="1" w:after="100" w:afterAutospacing="1"/>
      <w:jc w:val="center"/>
    </w:pPr>
    <w:rPr>
      <w:rFonts w:ascii="楷体" w:hAnsi="楷体" w:eastAsia="楷体" w:cs="宋体"/>
      <w:kern w:val="0"/>
      <w:sz w:val="24"/>
      <w:szCs w:val="24"/>
    </w:rPr>
  </w:style>
  <w:style w:type="paragraph" w:customStyle="1" w:styleId="38">
    <w:name w:val="xl73"/>
    <w:basedOn w:val="1"/>
    <w:qFormat/>
    <w:uiPriority w:val="0"/>
    <w:pPr>
      <w:pBdr>
        <w:bottom w:val="single" w:color="auto" w:sz="4" w:space="0"/>
      </w:pBdr>
      <w:spacing w:before="100" w:beforeAutospacing="1" w:after="100" w:afterAutospacing="1"/>
      <w:jc w:val="center"/>
    </w:pPr>
    <w:rPr>
      <w:rFonts w:ascii="黑体" w:hAnsi="黑体" w:eastAsia="黑体" w:cs="宋体"/>
      <w:kern w:val="0"/>
      <w:sz w:val="28"/>
      <w:szCs w:val="28"/>
    </w:rPr>
  </w:style>
  <w:style w:type="paragraph" w:customStyle="1" w:styleId="39">
    <w:name w:val="xl74"/>
    <w:basedOn w:val="1"/>
    <w:qFormat/>
    <w:uiPriority w:val="0"/>
    <w:pPr>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75"/>
    <w:basedOn w:val="1"/>
    <w:qFormat/>
    <w:uiPriority w:val="0"/>
    <w:pPr>
      <w:spacing w:before="100" w:beforeAutospacing="1" w:after="100" w:afterAutospacing="1"/>
    </w:pPr>
    <w:rPr>
      <w:rFonts w:ascii="楷体" w:hAnsi="楷体" w:eastAsia="楷体" w:cs="宋体"/>
      <w:kern w:val="0"/>
      <w:sz w:val="24"/>
      <w:szCs w:val="24"/>
    </w:rPr>
  </w:style>
  <w:style w:type="paragraph" w:customStyle="1" w:styleId="41">
    <w:name w:val="xl76"/>
    <w:basedOn w:val="1"/>
    <w:qFormat/>
    <w:uiPriority w:val="0"/>
    <w:pPr>
      <w:spacing w:before="100" w:beforeAutospacing="1" w:after="100" w:afterAutospacing="1"/>
    </w:pPr>
    <w:rPr>
      <w:rFonts w:ascii="楷体" w:hAnsi="楷体" w:eastAsia="楷体" w:cs="宋体"/>
      <w:kern w:val="0"/>
      <w:sz w:val="24"/>
      <w:szCs w:val="24"/>
    </w:rPr>
  </w:style>
  <w:style w:type="paragraph" w:customStyle="1" w:styleId="42">
    <w:name w:val="xl77"/>
    <w:basedOn w:val="1"/>
    <w:uiPriority w:val="0"/>
    <w:pPr>
      <w:pBdr>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楷体" w:hAnsi="楷体" w:eastAsia="楷体" w:cs="宋体"/>
      <w:kern w:val="0"/>
      <w:sz w:val="24"/>
      <w:szCs w:val="24"/>
    </w:rPr>
  </w:style>
  <w:style w:type="character" w:customStyle="1" w:styleId="43">
    <w:name w:val="正文文本缩进 Char"/>
    <w:basedOn w:val="14"/>
    <w:link w:val="5"/>
    <w:semiHidden/>
    <w:qFormat/>
    <w:uiPriority w:val="99"/>
    <w:rPr>
      <w:kern w:val="2"/>
      <w:sz w:val="21"/>
      <w:szCs w:val="22"/>
    </w:rPr>
  </w:style>
  <w:style w:type="character" w:customStyle="1" w:styleId="44">
    <w:name w:val="正文首行缩进 2 Char"/>
    <w:basedOn w:val="43"/>
    <w:link w:val="11"/>
    <w:semiHidden/>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1976</Words>
  <Characters>11264</Characters>
  <Lines>93</Lines>
  <Paragraphs>26</Paragraphs>
  <TotalTime>0</TotalTime>
  <ScaleCrop>false</ScaleCrop>
  <LinksUpToDate>false</LinksUpToDate>
  <CharactersWithSpaces>13214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2023-12-21T01:17:00Z</dcterms:created>
  <dc:creator>admin</dc:creator>
  <cp:lastModifiedBy>55</cp:lastModifiedBy>
  <cp:lastPrinted>2023-12-18T02:09:00Z</cp:lastPrinted>
  <dcterms:modified xsi:type="dcterms:W3CDTF">2023-12-22T09:03:00Z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EC6F94A4E49F4A5EBEE7BAD4B59E827D_13</vt:lpwstr>
  </property>
</Properties>
</file>